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12E1D">
      <w:pPr>
        <w:pStyle w:val="5"/>
        <w:pageBreakBefore w:val="0"/>
        <w:kinsoku/>
        <w:wordWrap/>
        <w:overflowPunct/>
        <w:topLinePunct w:val="0"/>
        <w:bidi w:val="0"/>
        <w:spacing w:line="243" w:lineRule="auto"/>
        <w:rPr>
          <w:rFonts w:ascii="Times New Roman" w:hAnsi="Times New Roman"/>
          <w:smallCaps w:val="0"/>
          <w:color w:val="auto"/>
        </w:rPr>
      </w:pPr>
    </w:p>
    <w:p w14:paraId="095A215A">
      <w:pPr>
        <w:pStyle w:val="5"/>
        <w:pageBreakBefore w:val="0"/>
        <w:kinsoku/>
        <w:wordWrap/>
        <w:overflowPunct/>
        <w:topLinePunct w:val="0"/>
        <w:bidi w:val="0"/>
        <w:spacing w:line="243" w:lineRule="auto"/>
        <w:rPr>
          <w:rFonts w:ascii="Times New Roman" w:hAnsi="Times New Roman"/>
          <w:smallCaps w:val="0"/>
          <w:color w:val="auto"/>
        </w:rPr>
      </w:pPr>
    </w:p>
    <w:p w14:paraId="6C338DA9">
      <w:pPr>
        <w:pStyle w:val="5"/>
        <w:pageBreakBefore w:val="0"/>
        <w:kinsoku/>
        <w:wordWrap/>
        <w:overflowPunct/>
        <w:topLinePunct w:val="0"/>
        <w:bidi w:val="0"/>
        <w:spacing w:line="243" w:lineRule="auto"/>
        <w:rPr>
          <w:rFonts w:ascii="Times New Roman" w:hAnsi="Times New Roman"/>
          <w:smallCaps w:val="0"/>
          <w:color w:val="auto"/>
        </w:rPr>
      </w:pPr>
    </w:p>
    <w:p w14:paraId="5F3E1986">
      <w:pPr>
        <w:pStyle w:val="5"/>
        <w:pageBreakBefore w:val="0"/>
        <w:kinsoku/>
        <w:wordWrap/>
        <w:overflowPunct/>
        <w:topLinePunct w:val="0"/>
        <w:bidi w:val="0"/>
        <w:spacing w:line="243" w:lineRule="auto"/>
        <w:rPr>
          <w:rFonts w:ascii="Times New Roman" w:hAnsi="Times New Roman"/>
          <w:smallCaps w:val="0"/>
          <w:color w:val="auto"/>
        </w:rPr>
      </w:pPr>
    </w:p>
    <w:p w14:paraId="348AA918">
      <w:pPr>
        <w:pStyle w:val="5"/>
        <w:pageBreakBefore w:val="0"/>
        <w:kinsoku/>
        <w:wordWrap/>
        <w:overflowPunct/>
        <w:topLinePunct w:val="0"/>
        <w:bidi w:val="0"/>
        <w:spacing w:line="243" w:lineRule="auto"/>
        <w:rPr>
          <w:rFonts w:ascii="Times New Roman" w:hAnsi="Times New Roman"/>
          <w:smallCaps w:val="0"/>
          <w:color w:val="auto"/>
        </w:rPr>
      </w:pPr>
    </w:p>
    <w:p w14:paraId="373CC320">
      <w:pPr>
        <w:pStyle w:val="5"/>
        <w:pageBreakBefore w:val="0"/>
        <w:kinsoku/>
        <w:wordWrap/>
        <w:overflowPunct/>
        <w:topLinePunct w:val="0"/>
        <w:bidi w:val="0"/>
        <w:spacing w:line="243" w:lineRule="auto"/>
        <w:rPr>
          <w:rFonts w:ascii="Times New Roman" w:hAnsi="Times New Roman"/>
          <w:smallCaps w:val="0"/>
          <w:color w:val="auto"/>
        </w:rPr>
      </w:pPr>
    </w:p>
    <w:p w14:paraId="32795219">
      <w:pPr>
        <w:pStyle w:val="5"/>
        <w:pageBreakBefore w:val="0"/>
        <w:kinsoku/>
        <w:wordWrap/>
        <w:overflowPunct/>
        <w:topLinePunct w:val="0"/>
        <w:bidi w:val="0"/>
        <w:spacing w:line="243" w:lineRule="auto"/>
        <w:rPr>
          <w:rFonts w:ascii="Times New Roman" w:hAnsi="Times New Roman"/>
          <w:smallCaps w:val="0"/>
          <w:color w:val="auto"/>
        </w:rPr>
      </w:pPr>
    </w:p>
    <w:p w14:paraId="08C4C5F6">
      <w:pPr>
        <w:pStyle w:val="5"/>
        <w:pageBreakBefore w:val="0"/>
        <w:kinsoku/>
        <w:wordWrap/>
        <w:overflowPunct/>
        <w:topLinePunct w:val="0"/>
        <w:bidi w:val="0"/>
        <w:spacing w:line="243" w:lineRule="auto"/>
        <w:rPr>
          <w:rFonts w:ascii="Times New Roman" w:hAnsi="Times New Roman"/>
          <w:smallCaps w:val="0"/>
          <w:color w:val="auto"/>
        </w:rPr>
      </w:pPr>
    </w:p>
    <w:p w14:paraId="7212E2CD">
      <w:pPr>
        <w:pStyle w:val="10"/>
        <w:pageBreakBefore w:val="0"/>
        <w:widowControl w:val="0"/>
        <w:tabs>
          <w:tab w:val="right" w:leader="dot" w:pos="8720"/>
        </w:tabs>
        <w:kinsoku/>
        <w:wordWrap/>
        <w:overflowPunct/>
        <w:topLinePunct w:val="0"/>
        <w:autoSpaceDE w:val="0"/>
        <w:autoSpaceDN w:val="0"/>
        <w:bidi w:val="0"/>
        <w:adjustRightInd w:val="0"/>
        <w:snapToGrid/>
        <w:spacing w:line="900" w:lineRule="exact"/>
        <w:ind w:left="0" w:leftChars="0"/>
        <w:jc w:val="center"/>
        <w:textAlignment w:val="auto"/>
        <w:rPr>
          <w:rFonts w:hint="eastAsia" w:ascii="方正小标宋简体" w:hAnsi="方正小标宋简体" w:eastAsia="方正小标宋简体" w:cs="方正小标宋简体"/>
          <w:smallCaps w:val="0"/>
          <w:snapToGrid/>
          <w:color w:val="auto"/>
          <w:spacing w:val="96"/>
          <w:kern w:val="2"/>
          <w:sz w:val="48"/>
          <w:szCs w:val="48"/>
          <w:lang w:eastAsia="zh-CN"/>
        </w:rPr>
      </w:pPr>
      <w:r>
        <w:rPr>
          <w:rFonts w:hint="eastAsia" w:ascii="方正小标宋简体" w:hAnsi="方正小标宋简体" w:eastAsia="方正小标宋简体" w:cs="方正小标宋简体"/>
          <w:smallCaps w:val="0"/>
          <w:snapToGrid/>
          <w:color w:val="auto"/>
          <w:spacing w:val="96"/>
          <w:kern w:val="2"/>
          <w:sz w:val="48"/>
          <w:szCs w:val="48"/>
          <w:lang w:eastAsia="zh-CN"/>
        </w:rPr>
        <w:t>银川市矿产资源规划</w:t>
      </w:r>
    </w:p>
    <w:p w14:paraId="36513A70">
      <w:pPr>
        <w:pStyle w:val="10"/>
        <w:pageBreakBefore w:val="0"/>
        <w:widowControl w:val="0"/>
        <w:tabs>
          <w:tab w:val="right" w:leader="dot" w:pos="8720"/>
        </w:tabs>
        <w:kinsoku/>
        <w:wordWrap/>
        <w:overflowPunct/>
        <w:topLinePunct w:val="0"/>
        <w:autoSpaceDE w:val="0"/>
        <w:autoSpaceDN w:val="0"/>
        <w:bidi w:val="0"/>
        <w:adjustRightInd w:val="0"/>
        <w:snapToGrid/>
        <w:spacing w:line="900" w:lineRule="exact"/>
        <w:ind w:left="0" w:leftChars="0"/>
        <w:jc w:val="center"/>
        <w:textAlignment w:val="auto"/>
        <w:rPr>
          <w:rFonts w:hint="default" w:ascii="Times New Roman" w:hAnsi="Times New Roman" w:eastAsia="方正小标宋_GBK" w:cs="方正小标宋_GBK"/>
          <w:smallCaps w:val="0"/>
          <w:snapToGrid/>
          <w:color w:val="auto"/>
          <w:spacing w:val="51"/>
          <w:kern w:val="2"/>
          <w:sz w:val="48"/>
          <w:szCs w:val="48"/>
          <w:lang w:val="en-US" w:eastAsia="zh-CN"/>
        </w:rPr>
      </w:pPr>
      <w:bookmarkStart w:id="0" w:name="_Toc15390"/>
      <w:r>
        <w:rPr>
          <w:rFonts w:hint="eastAsia" w:ascii="Times New Roman" w:hAnsi="Times New Roman" w:eastAsia="方正小标宋_GBK" w:cs="方正小标宋_GBK"/>
          <w:smallCaps w:val="0"/>
          <w:snapToGrid/>
          <w:color w:val="auto"/>
          <w:spacing w:val="51"/>
          <w:kern w:val="2"/>
          <w:sz w:val="48"/>
          <w:szCs w:val="48"/>
          <w:lang w:eastAsia="zh-CN"/>
        </w:rPr>
        <w:t>（202</w:t>
      </w:r>
      <w:r>
        <w:rPr>
          <w:rFonts w:hint="eastAsia" w:ascii="Times New Roman" w:hAnsi="Times New Roman" w:eastAsia="方正小标宋_GBK" w:cs="方正小标宋_GBK"/>
          <w:smallCaps w:val="0"/>
          <w:snapToGrid/>
          <w:color w:val="auto"/>
          <w:spacing w:val="51"/>
          <w:kern w:val="2"/>
          <w:sz w:val="48"/>
          <w:szCs w:val="48"/>
          <w:lang w:val="en-US" w:eastAsia="zh-CN"/>
        </w:rPr>
        <w:t>6</w:t>
      </w:r>
      <w:r>
        <w:rPr>
          <w:rFonts w:hint="eastAsia" w:ascii="Times New Roman" w:hAnsi="Times New Roman" w:eastAsia="方正小标宋_GBK" w:cs="方正小标宋_GBK"/>
          <w:smallCaps w:val="0"/>
          <w:snapToGrid/>
          <w:color w:val="auto"/>
          <w:spacing w:val="51"/>
          <w:kern w:val="2"/>
          <w:sz w:val="48"/>
          <w:szCs w:val="48"/>
          <w:lang w:eastAsia="zh-CN"/>
        </w:rPr>
        <w:t>—20</w:t>
      </w:r>
      <w:r>
        <w:rPr>
          <w:rFonts w:hint="eastAsia" w:ascii="Times New Roman" w:hAnsi="Times New Roman" w:eastAsia="方正小标宋_GBK" w:cs="方正小标宋_GBK"/>
          <w:smallCaps w:val="0"/>
          <w:snapToGrid/>
          <w:color w:val="auto"/>
          <w:spacing w:val="51"/>
          <w:kern w:val="2"/>
          <w:sz w:val="48"/>
          <w:szCs w:val="48"/>
          <w:lang w:val="en-US" w:eastAsia="zh-CN"/>
        </w:rPr>
        <w:t>30</w:t>
      </w:r>
      <w:r>
        <w:rPr>
          <w:rFonts w:hint="eastAsia" w:ascii="Times New Roman" w:hAnsi="Times New Roman" w:eastAsia="方正小标宋_GBK" w:cs="方正小标宋_GBK"/>
          <w:smallCaps w:val="0"/>
          <w:snapToGrid/>
          <w:color w:val="auto"/>
          <w:spacing w:val="51"/>
          <w:kern w:val="2"/>
          <w:sz w:val="48"/>
          <w:szCs w:val="48"/>
          <w:lang w:eastAsia="zh-CN"/>
        </w:rPr>
        <w:t>年）</w:t>
      </w:r>
      <w:bookmarkEnd w:id="0"/>
    </w:p>
    <w:p w14:paraId="0214B6B2">
      <w:pPr>
        <w:pStyle w:val="10"/>
        <w:pageBreakBefore w:val="0"/>
        <w:widowControl w:val="0"/>
        <w:tabs>
          <w:tab w:val="right" w:leader="dot" w:pos="8720"/>
        </w:tabs>
        <w:kinsoku/>
        <w:wordWrap/>
        <w:overflowPunct/>
        <w:topLinePunct w:val="0"/>
        <w:autoSpaceDE w:val="0"/>
        <w:autoSpaceDN w:val="0"/>
        <w:bidi w:val="0"/>
        <w:adjustRightInd w:val="0"/>
        <w:snapToGrid/>
        <w:spacing w:line="900" w:lineRule="exact"/>
        <w:ind w:left="0" w:leftChars="0"/>
        <w:jc w:val="center"/>
        <w:textAlignment w:val="auto"/>
        <w:rPr>
          <w:rFonts w:hint="eastAsia" w:ascii="方正小标宋简体" w:hAnsi="方正小标宋简体" w:eastAsia="方正小标宋简体" w:cs="方正小标宋简体"/>
          <w:smallCaps w:val="0"/>
          <w:snapToGrid/>
          <w:color w:val="auto"/>
          <w:spacing w:val="96"/>
          <w:kern w:val="2"/>
          <w:sz w:val="48"/>
          <w:szCs w:val="48"/>
          <w:lang w:eastAsia="zh-CN"/>
        </w:rPr>
      </w:pPr>
      <w:r>
        <w:rPr>
          <w:rFonts w:hint="eastAsia" w:ascii="方正小标宋简体" w:hAnsi="方正小标宋简体" w:eastAsia="方正小标宋简体" w:cs="方正小标宋简体"/>
          <w:smallCaps w:val="0"/>
          <w:snapToGrid/>
          <w:color w:val="auto"/>
          <w:spacing w:val="96"/>
          <w:kern w:val="2"/>
          <w:sz w:val="48"/>
          <w:szCs w:val="48"/>
          <w:lang w:eastAsia="zh-CN"/>
        </w:rPr>
        <w:t>（征求意见稿）</w:t>
      </w:r>
    </w:p>
    <w:p w14:paraId="5D3294BA">
      <w:pPr>
        <w:pStyle w:val="5"/>
        <w:pageBreakBefore w:val="0"/>
        <w:kinsoku/>
        <w:wordWrap/>
        <w:overflowPunct/>
        <w:topLinePunct w:val="0"/>
        <w:bidi w:val="0"/>
        <w:spacing w:line="245" w:lineRule="auto"/>
        <w:rPr>
          <w:rFonts w:ascii="Times New Roman" w:hAnsi="Times New Roman"/>
          <w:smallCaps w:val="0"/>
          <w:color w:val="auto"/>
        </w:rPr>
      </w:pPr>
    </w:p>
    <w:p w14:paraId="411A0D42">
      <w:pPr>
        <w:pStyle w:val="5"/>
        <w:pageBreakBefore w:val="0"/>
        <w:kinsoku/>
        <w:wordWrap/>
        <w:overflowPunct/>
        <w:topLinePunct w:val="0"/>
        <w:bidi w:val="0"/>
        <w:spacing w:line="245" w:lineRule="auto"/>
        <w:rPr>
          <w:rFonts w:ascii="Times New Roman" w:hAnsi="Times New Roman"/>
          <w:smallCaps w:val="0"/>
          <w:color w:val="auto"/>
        </w:rPr>
      </w:pPr>
    </w:p>
    <w:p w14:paraId="0787B66B">
      <w:pPr>
        <w:pStyle w:val="5"/>
        <w:pageBreakBefore w:val="0"/>
        <w:kinsoku/>
        <w:wordWrap/>
        <w:overflowPunct/>
        <w:topLinePunct w:val="0"/>
        <w:bidi w:val="0"/>
        <w:spacing w:line="245" w:lineRule="auto"/>
        <w:rPr>
          <w:rFonts w:ascii="Times New Roman" w:hAnsi="Times New Roman"/>
          <w:smallCaps w:val="0"/>
          <w:color w:val="auto"/>
        </w:rPr>
      </w:pPr>
    </w:p>
    <w:p w14:paraId="792F4678">
      <w:pPr>
        <w:pStyle w:val="5"/>
        <w:pageBreakBefore w:val="0"/>
        <w:kinsoku/>
        <w:wordWrap/>
        <w:overflowPunct/>
        <w:topLinePunct w:val="0"/>
        <w:bidi w:val="0"/>
        <w:spacing w:line="245" w:lineRule="auto"/>
        <w:rPr>
          <w:rFonts w:ascii="Times New Roman" w:hAnsi="Times New Roman"/>
          <w:smallCaps w:val="0"/>
          <w:color w:val="auto"/>
        </w:rPr>
      </w:pPr>
    </w:p>
    <w:p w14:paraId="4340733F">
      <w:pPr>
        <w:pStyle w:val="5"/>
        <w:pageBreakBefore w:val="0"/>
        <w:kinsoku/>
        <w:wordWrap/>
        <w:overflowPunct/>
        <w:topLinePunct w:val="0"/>
        <w:bidi w:val="0"/>
        <w:spacing w:line="245" w:lineRule="auto"/>
        <w:rPr>
          <w:rFonts w:ascii="Times New Roman" w:hAnsi="Times New Roman"/>
          <w:smallCaps w:val="0"/>
          <w:color w:val="auto"/>
        </w:rPr>
      </w:pPr>
    </w:p>
    <w:p w14:paraId="34866B8C">
      <w:pPr>
        <w:pStyle w:val="5"/>
        <w:pageBreakBefore w:val="0"/>
        <w:kinsoku/>
        <w:wordWrap/>
        <w:overflowPunct/>
        <w:topLinePunct w:val="0"/>
        <w:bidi w:val="0"/>
        <w:spacing w:line="245" w:lineRule="auto"/>
        <w:rPr>
          <w:rFonts w:ascii="Times New Roman" w:hAnsi="Times New Roman"/>
          <w:smallCaps w:val="0"/>
          <w:color w:val="auto"/>
        </w:rPr>
      </w:pPr>
    </w:p>
    <w:p w14:paraId="73426D65">
      <w:pPr>
        <w:pStyle w:val="5"/>
        <w:pageBreakBefore w:val="0"/>
        <w:kinsoku/>
        <w:wordWrap/>
        <w:overflowPunct/>
        <w:topLinePunct w:val="0"/>
        <w:bidi w:val="0"/>
        <w:spacing w:line="245" w:lineRule="auto"/>
        <w:rPr>
          <w:rFonts w:ascii="Times New Roman" w:hAnsi="Times New Roman"/>
          <w:smallCaps w:val="0"/>
          <w:color w:val="auto"/>
        </w:rPr>
      </w:pPr>
    </w:p>
    <w:p w14:paraId="5970A2BB">
      <w:pPr>
        <w:pStyle w:val="5"/>
        <w:pageBreakBefore w:val="0"/>
        <w:kinsoku/>
        <w:wordWrap/>
        <w:overflowPunct/>
        <w:topLinePunct w:val="0"/>
        <w:bidi w:val="0"/>
        <w:spacing w:line="245" w:lineRule="auto"/>
        <w:rPr>
          <w:rFonts w:ascii="Times New Roman" w:hAnsi="Times New Roman"/>
          <w:smallCaps w:val="0"/>
          <w:color w:val="auto"/>
        </w:rPr>
      </w:pPr>
    </w:p>
    <w:p w14:paraId="3C9B8657">
      <w:pPr>
        <w:pStyle w:val="5"/>
        <w:pageBreakBefore w:val="0"/>
        <w:kinsoku/>
        <w:wordWrap/>
        <w:overflowPunct/>
        <w:topLinePunct w:val="0"/>
        <w:bidi w:val="0"/>
        <w:spacing w:line="245" w:lineRule="auto"/>
        <w:rPr>
          <w:rFonts w:ascii="Times New Roman" w:hAnsi="Times New Roman"/>
          <w:smallCaps w:val="0"/>
          <w:color w:val="auto"/>
        </w:rPr>
      </w:pPr>
    </w:p>
    <w:p w14:paraId="0C5BF098">
      <w:pPr>
        <w:pStyle w:val="5"/>
        <w:pageBreakBefore w:val="0"/>
        <w:kinsoku/>
        <w:wordWrap/>
        <w:overflowPunct/>
        <w:topLinePunct w:val="0"/>
        <w:bidi w:val="0"/>
        <w:spacing w:line="245" w:lineRule="auto"/>
        <w:rPr>
          <w:rFonts w:ascii="Times New Roman" w:hAnsi="Times New Roman"/>
          <w:smallCaps w:val="0"/>
          <w:color w:val="auto"/>
        </w:rPr>
      </w:pPr>
    </w:p>
    <w:p w14:paraId="31886B23">
      <w:pPr>
        <w:pStyle w:val="5"/>
        <w:pageBreakBefore w:val="0"/>
        <w:kinsoku/>
        <w:wordWrap/>
        <w:overflowPunct/>
        <w:topLinePunct w:val="0"/>
        <w:bidi w:val="0"/>
        <w:spacing w:line="245" w:lineRule="auto"/>
        <w:rPr>
          <w:rFonts w:ascii="Times New Roman" w:hAnsi="Times New Roman"/>
          <w:smallCaps w:val="0"/>
          <w:color w:val="auto"/>
        </w:rPr>
      </w:pPr>
    </w:p>
    <w:p w14:paraId="6287F8E0">
      <w:pPr>
        <w:pStyle w:val="5"/>
        <w:pageBreakBefore w:val="0"/>
        <w:kinsoku/>
        <w:wordWrap/>
        <w:overflowPunct/>
        <w:topLinePunct w:val="0"/>
        <w:bidi w:val="0"/>
        <w:spacing w:line="246" w:lineRule="auto"/>
        <w:rPr>
          <w:rFonts w:ascii="Times New Roman" w:hAnsi="Times New Roman"/>
          <w:smallCaps w:val="0"/>
          <w:color w:val="auto"/>
        </w:rPr>
      </w:pPr>
    </w:p>
    <w:p w14:paraId="1408A162">
      <w:pPr>
        <w:pStyle w:val="5"/>
        <w:pageBreakBefore w:val="0"/>
        <w:kinsoku/>
        <w:wordWrap/>
        <w:overflowPunct/>
        <w:topLinePunct w:val="0"/>
        <w:bidi w:val="0"/>
        <w:spacing w:line="246" w:lineRule="auto"/>
        <w:rPr>
          <w:rFonts w:ascii="Times New Roman" w:hAnsi="Times New Roman"/>
          <w:smallCaps w:val="0"/>
          <w:color w:val="auto"/>
        </w:rPr>
      </w:pPr>
    </w:p>
    <w:p w14:paraId="65638D7E">
      <w:pPr>
        <w:pStyle w:val="5"/>
        <w:pageBreakBefore w:val="0"/>
        <w:kinsoku/>
        <w:wordWrap/>
        <w:overflowPunct/>
        <w:topLinePunct w:val="0"/>
        <w:bidi w:val="0"/>
        <w:spacing w:line="246" w:lineRule="auto"/>
        <w:rPr>
          <w:rFonts w:ascii="Times New Roman" w:hAnsi="Times New Roman"/>
          <w:smallCaps w:val="0"/>
          <w:color w:val="auto"/>
        </w:rPr>
      </w:pPr>
    </w:p>
    <w:p w14:paraId="278737FA">
      <w:pPr>
        <w:pStyle w:val="5"/>
        <w:pageBreakBefore w:val="0"/>
        <w:kinsoku/>
        <w:wordWrap/>
        <w:overflowPunct/>
        <w:topLinePunct w:val="0"/>
        <w:bidi w:val="0"/>
        <w:spacing w:line="246" w:lineRule="auto"/>
        <w:rPr>
          <w:rFonts w:ascii="Times New Roman" w:hAnsi="Times New Roman"/>
          <w:smallCaps w:val="0"/>
          <w:color w:val="auto"/>
        </w:rPr>
      </w:pPr>
    </w:p>
    <w:p w14:paraId="63A40CE1">
      <w:pPr>
        <w:pStyle w:val="5"/>
        <w:pageBreakBefore w:val="0"/>
        <w:kinsoku/>
        <w:wordWrap/>
        <w:overflowPunct/>
        <w:topLinePunct w:val="0"/>
        <w:bidi w:val="0"/>
        <w:spacing w:line="246" w:lineRule="auto"/>
        <w:rPr>
          <w:rFonts w:ascii="Times New Roman" w:hAnsi="Times New Roman"/>
          <w:smallCaps w:val="0"/>
          <w:color w:val="auto"/>
        </w:rPr>
      </w:pPr>
    </w:p>
    <w:p w14:paraId="3624BEC8">
      <w:pPr>
        <w:pStyle w:val="5"/>
        <w:pageBreakBefore w:val="0"/>
        <w:kinsoku/>
        <w:wordWrap/>
        <w:overflowPunct/>
        <w:topLinePunct w:val="0"/>
        <w:bidi w:val="0"/>
        <w:spacing w:line="246" w:lineRule="auto"/>
        <w:rPr>
          <w:rFonts w:ascii="Times New Roman" w:hAnsi="Times New Roman"/>
          <w:smallCaps w:val="0"/>
          <w:color w:val="auto"/>
        </w:rPr>
      </w:pPr>
    </w:p>
    <w:p w14:paraId="4E981B31">
      <w:pPr>
        <w:pStyle w:val="5"/>
        <w:pageBreakBefore w:val="0"/>
        <w:kinsoku/>
        <w:wordWrap/>
        <w:overflowPunct/>
        <w:topLinePunct w:val="0"/>
        <w:bidi w:val="0"/>
        <w:spacing w:line="246" w:lineRule="auto"/>
        <w:rPr>
          <w:rFonts w:ascii="Times New Roman" w:hAnsi="Times New Roman"/>
          <w:smallCaps w:val="0"/>
          <w:color w:val="auto"/>
        </w:rPr>
      </w:pPr>
    </w:p>
    <w:p w14:paraId="7F131834">
      <w:pPr>
        <w:pStyle w:val="5"/>
        <w:pageBreakBefore w:val="0"/>
        <w:kinsoku/>
        <w:wordWrap/>
        <w:overflowPunct/>
        <w:topLinePunct w:val="0"/>
        <w:bidi w:val="0"/>
        <w:spacing w:line="246" w:lineRule="auto"/>
        <w:rPr>
          <w:rFonts w:ascii="Times New Roman" w:hAnsi="Times New Roman"/>
          <w:smallCaps w:val="0"/>
          <w:color w:val="auto"/>
        </w:rPr>
      </w:pPr>
    </w:p>
    <w:p w14:paraId="736253FA">
      <w:pPr>
        <w:pStyle w:val="5"/>
        <w:pageBreakBefore w:val="0"/>
        <w:kinsoku/>
        <w:wordWrap/>
        <w:overflowPunct/>
        <w:topLinePunct w:val="0"/>
        <w:bidi w:val="0"/>
        <w:spacing w:line="246" w:lineRule="auto"/>
        <w:rPr>
          <w:rFonts w:ascii="Times New Roman" w:hAnsi="Times New Roman"/>
          <w:smallCaps w:val="0"/>
          <w:color w:val="auto"/>
        </w:rPr>
      </w:pPr>
    </w:p>
    <w:p w14:paraId="2DB5CFE7">
      <w:pPr>
        <w:pStyle w:val="5"/>
        <w:pageBreakBefore w:val="0"/>
        <w:kinsoku/>
        <w:wordWrap/>
        <w:overflowPunct/>
        <w:topLinePunct w:val="0"/>
        <w:bidi w:val="0"/>
        <w:spacing w:line="246" w:lineRule="auto"/>
        <w:rPr>
          <w:rFonts w:ascii="Times New Roman" w:hAnsi="Times New Roman"/>
          <w:smallCaps w:val="0"/>
          <w:color w:val="auto"/>
        </w:rPr>
      </w:pPr>
    </w:p>
    <w:p w14:paraId="3C113B02">
      <w:pPr>
        <w:pStyle w:val="5"/>
        <w:pageBreakBefore w:val="0"/>
        <w:kinsoku/>
        <w:wordWrap/>
        <w:overflowPunct/>
        <w:topLinePunct w:val="0"/>
        <w:bidi w:val="0"/>
        <w:spacing w:line="246" w:lineRule="auto"/>
        <w:rPr>
          <w:rFonts w:ascii="Times New Roman" w:hAnsi="Times New Roman"/>
          <w:smallCaps w:val="0"/>
          <w:color w:val="auto"/>
        </w:rPr>
      </w:pPr>
    </w:p>
    <w:p w14:paraId="41E3F514">
      <w:pPr>
        <w:pStyle w:val="5"/>
        <w:pageBreakBefore w:val="0"/>
        <w:kinsoku/>
        <w:wordWrap/>
        <w:overflowPunct/>
        <w:topLinePunct w:val="0"/>
        <w:bidi w:val="0"/>
        <w:spacing w:line="246" w:lineRule="auto"/>
        <w:rPr>
          <w:rFonts w:ascii="Times New Roman" w:hAnsi="Times New Roman"/>
          <w:smallCaps w:val="0"/>
          <w:color w:val="auto"/>
        </w:rPr>
      </w:pPr>
    </w:p>
    <w:p w14:paraId="1219A7FA">
      <w:pPr>
        <w:pStyle w:val="5"/>
        <w:pageBreakBefore w:val="0"/>
        <w:kinsoku/>
        <w:wordWrap/>
        <w:overflowPunct/>
        <w:topLinePunct w:val="0"/>
        <w:bidi w:val="0"/>
        <w:spacing w:line="246" w:lineRule="auto"/>
        <w:rPr>
          <w:rFonts w:ascii="Times New Roman" w:hAnsi="Times New Roman"/>
          <w:smallCaps w:val="0"/>
          <w:color w:val="auto"/>
        </w:rPr>
      </w:pPr>
    </w:p>
    <w:p w14:paraId="24BB075F">
      <w:pPr>
        <w:pStyle w:val="5"/>
        <w:pageBreakBefore w:val="0"/>
        <w:kinsoku/>
        <w:wordWrap/>
        <w:overflowPunct/>
        <w:topLinePunct w:val="0"/>
        <w:bidi w:val="0"/>
        <w:spacing w:line="246" w:lineRule="auto"/>
        <w:rPr>
          <w:rFonts w:ascii="Times New Roman" w:hAnsi="Times New Roman"/>
          <w:smallCaps w:val="0"/>
          <w:color w:val="auto"/>
        </w:rPr>
      </w:pPr>
    </w:p>
    <w:p w14:paraId="00714989">
      <w:pPr>
        <w:pStyle w:val="19"/>
        <w:pageBreakBefore w:val="0"/>
        <w:kinsoku/>
        <w:wordWrap/>
        <w:overflowPunct/>
        <w:topLinePunct w:val="0"/>
        <w:bidi w:val="0"/>
        <w:spacing w:line="700" w:lineRule="exact"/>
        <w:jc w:val="center"/>
        <w:rPr>
          <w:rFonts w:hint="eastAsia" w:ascii="Times New Roman" w:hAnsi="Times New Roman" w:eastAsia="方正小标宋_GBK" w:cs="方正小标宋_GBK"/>
          <w:smallCaps w:val="0"/>
          <w:color w:val="auto"/>
          <w:spacing w:val="85"/>
          <w:sz w:val="36"/>
          <w:szCs w:val="36"/>
        </w:rPr>
      </w:pPr>
      <w:r>
        <w:rPr>
          <w:rFonts w:hint="eastAsia" w:ascii="Times New Roman" w:hAnsi="Times New Roman" w:eastAsia="方正小标宋_GBK" w:cs="方正小标宋_GBK"/>
          <w:smallCaps w:val="0"/>
          <w:color w:val="auto"/>
          <w:spacing w:val="85"/>
          <w:sz w:val="36"/>
          <w:szCs w:val="36"/>
        </w:rPr>
        <w:t>银川市人民政府</w:t>
      </w:r>
    </w:p>
    <w:p w14:paraId="7F273DE1">
      <w:pPr>
        <w:pStyle w:val="19"/>
        <w:pageBreakBefore w:val="0"/>
        <w:kinsoku/>
        <w:wordWrap/>
        <w:overflowPunct/>
        <w:topLinePunct w:val="0"/>
        <w:bidi w:val="0"/>
        <w:spacing w:line="700" w:lineRule="exact"/>
        <w:jc w:val="center"/>
        <w:rPr>
          <w:rFonts w:hint="eastAsia" w:ascii="Times New Roman" w:hAnsi="Times New Roman" w:eastAsia="方正小标宋_GBK" w:cs="方正小标宋_GBK"/>
          <w:smallCaps w:val="0"/>
          <w:color w:val="auto"/>
          <w:spacing w:val="85"/>
          <w:sz w:val="36"/>
          <w:szCs w:val="36"/>
        </w:rPr>
      </w:pPr>
      <w:r>
        <w:rPr>
          <w:rFonts w:hint="eastAsia" w:ascii="Times New Roman" w:hAnsi="Times New Roman" w:eastAsia="方正小标宋_GBK" w:cs="方正小标宋_GBK"/>
          <w:smallCaps w:val="0"/>
          <w:color w:val="auto"/>
          <w:spacing w:val="85"/>
          <w:sz w:val="36"/>
          <w:szCs w:val="36"/>
        </w:rPr>
        <w:t>二〇二</w:t>
      </w:r>
      <w:r>
        <w:rPr>
          <w:rFonts w:hint="eastAsia" w:ascii="Times New Roman" w:hAnsi="Times New Roman" w:eastAsia="方正小标宋_GBK" w:cs="方正小标宋_GBK"/>
          <w:smallCaps w:val="0"/>
          <w:color w:val="auto"/>
          <w:spacing w:val="85"/>
          <w:sz w:val="36"/>
          <w:szCs w:val="36"/>
          <w:lang w:val="en-US" w:eastAsia="zh-CN"/>
        </w:rPr>
        <w:t>六</w:t>
      </w:r>
      <w:r>
        <w:rPr>
          <w:rFonts w:hint="eastAsia" w:ascii="Times New Roman" w:hAnsi="Times New Roman" w:eastAsia="方正小标宋_GBK" w:cs="方正小标宋_GBK"/>
          <w:smallCaps w:val="0"/>
          <w:color w:val="auto"/>
          <w:spacing w:val="85"/>
          <w:sz w:val="36"/>
          <w:szCs w:val="36"/>
        </w:rPr>
        <w:t>年</w:t>
      </w:r>
      <w:r>
        <w:rPr>
          <w:rFonts w:hint="eastAsia" w:eastAsia="方正小标宋_GBK" w:cs="方正小标宋_GBK"/>
          <w:smallCaps w:val="0"/>
          <w:color w:val="auto"/>
          <w:spacing w:val="85"/>
          <w:sz w:val="36"/>
          <w:szCs w:val="36"/>
          <w:lang w:val="en-US" w:eastAsia="zh-CN"/>
        </w:rPr>
        <w:t>四</w:t>
      </w:r>
      <w:r>
        <w:rPr>
          <w:rFonts w:hint="eastAsia" w:ascii="Times New Roman" w:hAnsi="Times New Roman" w:eastAsia="方正小标宋_GBK" w:cs="方正小标宋_GBK"/>
          <w:smallCaps w:val="0"/>
          <w:color w:val="auto"/>
          <w:spacing w:val="85"/>
          <w:sz w:val="36"/>
          <w:szCs w:val="36"/>
        </w:rPr>
        <w:t>月</w:t>
      </w:r>
    </w:p>
    <w:p w14:paraId="64141E09">
      <w:pPr>
        <w:pageBreakBefore w:val="0"/>
        <w:kinsoku/>
        <w:wordWrap/>
        <w:overflowPunct/>
        <w:topLinePunct w:val="0"/>
        <w:bidi w:val="0"/>
        <w:spacing w:line="198" w:lineRule="auto"/>
        <w:rPr>
          <w:rFonts w:ascii="Times New Roman" w:hAnsi="Times New Roman" w:eastAsia="微软雅黑" w:cs="微软雅黑"/>
          <w:smallCaps w:val="0"/>
          <w:color w:val="auto"/>
          <w:sz w:val="31"/>
          <w:szCs w:val="31"/>
        </w:rPr>
        <w:sectPr>
          <w:pgSz w:w="11907" w:h="16839"/>
          <w:pgMar w:top="1440" w:right="1800" w:bottom="1440" w:left="1800" w:header="0" w:footer="0" w:gutter="0"/>
          <w:cols w:space="720" w:num="1"/>
        </w:sectPr>
      </w:pPr>
    </w:p>
    <w:sdt>
      <w:sdtPr>
        <w:rPr>
          <w:rFonts w:hint="eastAsia" w:ascii="方正大标宋_GBK" w:hAnsi="方正大标宋_GBK" w:eastAsia="方正大标宋_GBK" w:cs="方正大标宋_GBK"/>
          <w:bCs w:val="0"/>
          <w:snapToGrid/>
          <w:color w:val="000000"/>
          <w:kern w:val="1"/>
          <w:sz w:val="40"/>
          <w:szCs w:val="72"/>
          <w:lang w:val="en-US" w:eastAsia="en-US" w:bidi="ar-SA"/>
        </w:rPr>
        <w:id w:val="147452665"/>
        <w15:color w:val="DBDBDB"/>
        <w:docPartObj>
          <w:docPartGallery w:val="Table of Contents"/>
          <w:docPartUnique/>
        </w:docPartObj>
      </w:sdtPr>
      <w:sdtEndPr>
        <w:rPr>
          <w:rFonts w:hint="eastAsia" w:ascii="Times New Roman" w:hAnsi="Times New Roman" w:eastAsia="仿宋" w:cs="仿宋"/>
          <w:bCs w:val="0"/>
          <w:smallCaps w:val="0"/>
          <w:snapToGrid w:val="0"/>
          <w:color w:val="auto"/>
          <w:kern w:val="0"/>
          <w:sz w:val="21"/>
          <w:szCs w:val="30"/>
          <w:lang w:val="en-US" w:eastAsia="en-US" w:bidi="ar-SA"/>
        </w:rPr>
      </w:sdtEndPr>
      <w:sdtContent>
        <w:p w14:paraId="5774E6A8">
          <w:pPr>
            <w:keepNext w:val="0"/>
            <w:keepLines w:val="0"/>
            <w:pageBreakBefore w:val="0"/>
            <w:widowControl/>
            <w:wordWrap/>
            <w:overflowPunct/>
            <w:topLinePunct w:val="0"/>
            <w:autoSpaceDE w:val="0"/>
            <w:autoSpaceDN w:val="0"/>
            <w:bidi w:val="0"/>
            <w:adjustRightInd w:val="0"/>
            <w:snapToGrid w:val="0"/>
            <w:spacing w:before="0" w:beforeLines="0" w:after="0" w:afterLines="0" w:line="640" w:lineRule="exact"/>
            <w:ind w:left="0" w:leftChars="0" w:right="0" w:rightChars="0" w:firstLine="0" w:firstLineChars="0"/>
            <w:jc w:val="center"/>
            <w:textAlignment w:val="baseline"/>
            <w:rPr>
              <w:rFonts w:hint="eastAsia" w:ascii="方正大标宋_GBK" w:hAnsi="方正大标宋_GBK" w:eastAsia="方正大标宋_GBK" w:cs="方正大标宋_GBK"/>
              <w:bCs w:val="0"/>
              <w:snapToGrid/>
              <w:color w:val="000000"/>
              <w:kern w:val="1"/>
              <w:sz w:val="40"/>
              <w:szCs w:val="72"/>
              <w:lang w:val="en-US" w:eastAsia="zh-CN" w:bidi="ar-SA"/>
            </w:rPr>
          </w:pPr>
          <w:r>
            <w:rPr>
              <w:rFonts w:hint="eastAsia" w:ascii="方正大标宋_GBK" w:hAnsi="方正大标宋_GBK" w:eastAsia="方正大标宋_GBK" w:cs="方正大标宋_GBK"/>
              <w:bCs w:val="0"/>
              <w:snapToGrid/>
              <w:color w:val="000000"/>
              <w:kern w:val="1"/>
              <w:sz w:val="40"/>
              <w:szCs w:val="72"/>
              <w:lang w:val="en-US" w:eastAsia="zh-CN" w:bidi="ar-SA"/>
            </w:rPr>
            <w:t>目  录</w:t>
          </w:r>
        </w:p>
        <w:p w14:paraId="4C143E96">
          <w:pPr>
            <w:pStyle w:val="9"/>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方正大标宋_GBK" w:hAnsi="方正大标宋_GBK" w:eastAsia="方正大标宋_GBK" w:cs="方正大标宋_GBK"/>
              <w:bCs w:val="0"/>
              <w:snapToGrid/>
              <w:kern w:val="1"/>
              <w:sz w:val="32"/>
              <w:szCs w:val="52"/>
              <w:lang w:val="en-US" w:eastAsia="zh-CN"/>
            </w:rPr>
          </w:pPr>
          <w:r>
            <w:rPr>
              <w:rFonts w:hint="eastAsia" w:ascii="Times New Roman" w:hAnsi="Times New Roman" w:eastAsia="仿宋_GB2312" w:cs="仿宋"/>
              <w:smallCaps w:val="0"/>
              <w:color w:val="auto"/>
              <w:sz w:val="28"/>
              <w:szCs w:val="30"/>
            </w:rPr>
            <w:fldChar w:fldCharType="begin"/>
          </w:r>
          <w:r>
            <w:rPr>
              <w:rFonts w:hint="eastAsia" w:ascii="Times New Roman" w:hAnsi="Times New Roman" w:eastAsia="仿宋_GB2312" w:cs="仿宋"/>
              <w:smallCaps w:val="0"/>
              <w:color w:val="auto"/>
              <w:sz w:val="28"/>
              <w:szCs w:val="30"/>
            </w:rPr>
            <w:instrText xml:space="preserve">TOC \o "1-3" \h \u </w:instrText>
          </w:r>
          <w:r>
            <w:rPr>
              <w:rFonts w:hint="eastAsia" w:ascii="Times New Roman" w:hAnsi="Times New Roman" w:eastAsia="仿宋_GB2312" w:cs="仿宋"/>
              <w:smallCaps w:val="0"/>
              <w:color w:val="auto"/>
              <w:sz w:val="28"/>
              <w:szCs w:val="30"/>
            </w:rPr>
            <w:fldChar w:fldCharType="separate"/>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HYPERLINK \l _Toc11527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总  则</w:t>
          </w:r>
          <w:r>
            <w:rPr>
              <w:rFonts w:hint="eastAsia" w:ascii="方正大标宋_GBK" w:hAnsi="方正大标宋_GBK" w:eastAsia="方正大标宋_GBK" w:cs="方正大标宋_GBK"/>
              <w:bCs w:val="0"/>
              <w:snapToGrid/>
              <w:kern w:val="1"/>
              <w:sz w:val="32"/>
              <w:szCs w:val="52"/>
              <w:lang w:val="en-US" w:eastAsia="zh-CN"/>
            </w:rPr>
            <w:tab/>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PAGEREF _Toc11527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1</w:t>
          </w:r>
          <w:r>
            <w:rPr>
              <w:rFonts w:hint="eastAsia" w:ascii="方正大标宋_GBK" w:hAnsi="方正大标宋_GBK" w:eastAsia="方正大标宋_GBK" w:cs="方正大标宋_GBK"/>
              <w:bCs w:val="0"/>
              <w:snapToGrid/>
              <w:kern w:val="1"/>
              <w:sz w:val="32"/>
              <w:szCs w:val="52"/>
              <w:lang w:val="en-US" w:eastAsia="zh-CN"/>
            </w:rPr>
            <w:fldChar w:fldCharType="end"/>
          </w:r>
          <w:r>
            <w:rPr>
              <w:rFonts w:hint="eastAsia" w:ascii="方正大标宋_GBK" w:hAnsi="方正大标宋_GBK" w:eastAsia="方正大标宋_GBK" w:cs="方正大标宋_GBK"/>
              <w:bCs w:val="0"/>
              <w:snapToGrid/>
              <w:kern w:val="1"/>
              <w:sz w:val="32"/>
              <w:szCs w:val="52"/>
              <w:lang w:val="en-US" w:eastAsia="zh-CN"/>
            </w:rPr>
            <w:fldChar w:fldCharType="end"/>
          </w:r>
        </w:p>
        <w:p w14:paraId="43341791">
          <w:pPr>
            <w:pStyle w:val="9"/>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sz w:val="24"/>
              <w:szCs w:val="24"/>
            </w:rPr>
          </w:pP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HYPERLINK \l _Toc25580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第一章  规划基础</w:t>
          </w:r>
          <w:r>
            <w:rPr>
              <w:rFonts w:hint="eastAsia" w:ascii="方正大标宋_GBK" w:hAnsi="方正大标宋_GBK" w:eastAsia="方正大标宋_GBK" w:cs="方正大标宋_GBK"/>
              <w:bCs w:val="0"/>
              <w:snapToGrid/>
              <w:kern w:val="1"/>
              <w:sz w:val="32"/>
              <w:szCs w:val="52"/>
              <w:lang w:val="en-US" w:eastAsia="zh-CN"/>
            </w:rPr>
            <w:tab/>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PAGEREF _Toc25580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2</w:t>
          </w:r>
          <w:r>
            <w:rPr>
              <w:rFonts w:hint="eastAsia" w:ascii="方正大标宋_GBK" w:hAnsi="方正大标宋_GBK" w:eastAsia="方正大标宋_GBK" w:cs="方正大标宋_GBK"/>
              <w:bCs w:val="0"/>
              <w:snapToGrid/>
              <w:kern w:val="1"/>
              <w:sz w:val="32"/>
              <w:szCs w:val="52"/>
              <w:lang w:val="en-US" w:eastAsia="zh-CN"/>
            </w:rPr>
            <w:fldChar w:fldCharType="end"/>
          </w:r>
          <w:r>
            <w:rPr>
              <w:rFonts w:hint="eastAsia" w:ascii="方正大标宋_GBK" w:hAnsi="方正大标宋_GBK" w:eastAsia="方正大标宋_GBK" w:cs="方正大标宋_GBK"/>
              <w:bCs w:val="0"/>
              <w:snapToGrid/>
              <w:kern w:val="1"/>
              <w:sz w:val="32"/>
              <w:szCs w:val="52"/>
              <w:lang w:val="en-US" w:eastAsia="zh-CN"/>
            </w:rPr>
            <w:fldChar w:fldCharType="end"/>
          </w:r>
        </w:p>
        <w:p w14:paraId="4F7480E2">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_Toc25503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一、矿产资源概况及矿业发展现状</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_Toc25503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2</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1C7FD4FD">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_Toc7187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二、上轮规划实施成效和存在问题</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_Toc7187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6</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17DAE371">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sz w:val="24"/>
              <w:szCs w:val="24"/>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_Toc7684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三、形势与要求</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_Toc7684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10</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39329A0C">
          <w:pPr>
            <w:pStyle w:val="9"/>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方正大标宋_GBK" w:hAnsi="方正大标宋_GBK" w:eastAsia="方正大标宋_GBK" w:cs="方正大标宋_GBK"/>
              <w:bCs w:val="0"/>
              <w:snapToGrid/>
              <w:kern w:val="1"/>
              <w:sz w:val="32"/>
              <w:szCs w:val="52"/>
              <w:lang w:val="en-US" w:eastAsia="zh-CN"/>
            </w:rPr>
          </w:pP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HYPERLINK \l _Toc24698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第二章  指导思想和基本原则</w:t>
          </w:r>
          <w:r>
            <w:rPr>
              <w:rFonts w:hint="eastAsia" w:ascii="方正大标宋_GBK" w:hAnsi="方正大标宋_GBK" w:eastAsia="方正大标宋_GBK" w:cs="方正大标宋_GBK"/>
              <w:bCs w:val="0"/>
              <w:snapToGrid/>
              <w:kern w:val="1"/>
              <w:sz w:val="32"/>
              <w:szCs w:val="52"/>
              <w:lang w:val="en-US" w:eastAsia="zh-CN"/>
            </w:rPr>
            <w:tab/>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PAGEREF _Toc24698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12</w:t>
          </w:r>
          <w:r>
            <w:rPr>
              <w:rFonts w:hint="eastAsia" w:ascii="方正大标宋_GBK" w:hAnsi="方正大标宋_GBK" w:eastAsia="方正大标宋_GBK" w:cs="方正大标宋_GBK"/>
              <w:bCs w:val="0"/>
              <w:snapToGrid/>
              <w:kern w:val="1"/>
              <w:sz w:val="32"/>
              <w:szCs w:val="52"/>
              <w:lang w:val="en-US" w:eastAsia="zh-CN"/>
            </w:rPr>
            <w:fldChar w:fldCharType="end"/>
          </w:r>
          <w:r>
            <w:rPr>
              <w:rFonts w:hint="eastAsia" w:ascii="方正大标宋_GBK" w:hAnsi="方正大标宋_GBK" w:eastAsia="方正大标宋_GBK" w:cs="方正大标宋_GBK"/>
              <w:bCs w:val="0"/>
              <w:snapToGrid/>
              <w:kern w:val="1"/>
              <w:sz w:val="32"/>
              <w:szCs w:val="52"/>
              <w:lang w:val="en-US" w:eastAsia="zh-CN"/>
            </w:rPr>
            <w:fldChar w:fldCharType="end"/>
          </w:r>
        </w:p>
        <w:p w14:paraId="5C3BA8E5">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_Toc8617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一、指导思想</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_Toc8617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12</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5D5F0B1A">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sz w:val="24"/>
              <w:szCs w:val="24"/>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_Toc24595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二、基本原则</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_Toc24595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12</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3D16D8A6">
          <w:pPr>
            <w:pStyle w:val="9"/>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方正大标宋_GBK" w:hAnsi="方正大标宋_GBK" w:eastAsia="方正大标宋_GBK" w:cs="方正大标宋_GBK"/>
              <w:bCs w:val="0"/>
              <w:snapToGrid/>
              <w:kern w:val="1"/>
              <w:sz w:val="32"/>
              <w:szCs w:val="52"/>
              <w:lang w:val="en-US" w:eastAsia="zh-CN"/>
            </w:rPr>
          </w:pP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HYPERLINK \l _Toc3041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第三章  规划目标指标</w:t>
          </w:r>
          <w:r>
            <w:rPr>
              <w:rFonts w:hint="eastAsia" w:ascii="方正大标宋_GBK" w:hAnsi="方正大标宋_GBK" w:eastAsia="方正大标宋_GBK" w:cs="方正大标宋_GBK"/>
              <w:bCs w:val="0"/>
              <w:snapToGrid/>
              <w:kern w:val="1"/>
              <w:sz w:val="32"/>
              <w:szCs w:val="52"/>
              <w:lang w:val="en-US" w:eastAsia="zh-CN"/>
            </w:rPr>
            <w:tab/>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PAGEREF _Toc3041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15</w:t>
          </w:r>
          <w:r>
            <w:rPr>
              <w:rFonts w:hint="eastAsia" w:ascii="方正大标宋_GBK" w:hAnsi="方正大标宋_GBK" w:eastAsia="方正大标宋_GBK" w:cs="方正大标宋_GBK"/>
              <w:bCs w:val="0"/>
              <w:snapToGrid/>
              <w:kern w:val="1"/>
              <w:sz w:val="32"/>
              <w:szCs w:val="52"/>
              <w:lang w:val="en-US" w:eastAsia="zh-CN"/>
            </w:rPr>
            <w:fldChar w:fldCharType="end"/>
          </w:r>
          <w:r>
            <w:rPr>
              <w:rFonts w:hint="eastAsia" w:ascii="方正大标宋_GBK" w:hAnsi="方正大标宋_GBK" w:eastAsia="方正大标宋_GBK" w:cs="方正大标宋_GBK"/>
              <w:bCs w:val="0"/>
              <w:snapToGrid/>
              <w:kern w:val="1"/>
              <w:sz w:val="32"/>
              <w:szCs w:val="52"/>
              <w:lang w:val="en-US" w:eastAsia="zh-CN"/>
            </w:rPr>
            <w:fldChar w:fldCharType="end"/>
          </w:r>
        </w:p>
        <w:p w14:paraId="20A35610">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_Toc19587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一、2030年规划目标</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_Toc19587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15</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1D15CC13">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sz w:val="24"/>
              <w:szCs w:val="24"/>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_Toc4845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二、2035年展望目标</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_Toc4845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17</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6443F333">
          <w:pPr>
            <w:pStyle w:val="9"/>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方正大标宋_GBK" w:hAnsi="方正大标宋_GBK" w:eastAsia="方正大标宋_GBK" w:cs="方正大标宋_GBK"/>
              <w:bCs w:val="0"/>
              <w:snapToGrid/>
              <w:kern w:val="1"/>
              <w:sz w:val="32"/>
              <w:szCs w:val="52"/>
              <w:lang w:val="en-US" w:eastAsia="zh-CN"/>
            </w:rPr>
          </w:pP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HYPERLINK \l _Toc26987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第四章  矿产勘查开发与保护布局</w:t>
          </w:r>
          <w:r>
            <w:rPr>
              <w:rFonts w:hint="eastAsia" w:ascii="方正大标宋_GBK" w:hAnsi="方正大标宋_GBK" w:eastAsia="方正大标宋_GBK" w:cs="方正大标宋_GBK"/>
              <w:bCs w:val="0"/>
              <w:snapToGrid/>
              <w:kern w:val="1"/>
              <w:sz w:val="32"/>
              <w:szCs w:val="52"/>
              <w:lang w:val="en-US" w:eastAsia="zh-CN"/>
            </w:rPr>
            <w:tab/>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PAGEREF _Toc26987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18</w:t>
          </w:r>
          <w:r>
            <w:rPr>
              <w:rFonts w:hint="eastAsia" w:ascii="方正大标宋_GBK" w:hAnsi="方正大标宋_GBK" w:eastAsia="方正大标宋_GBK" w:cs="方正大标宋_GBK"/>
              <w:bCs w:val="0"/>
              <w:snapToGrid/>
              <w:kern w:val="1"/>
              <w:sz w:val="32"/>
              <w:szCs w:val="52"/>
              <w:lang w:val="en-US" w:eastAsia="zh-CN"/>
            </w:rPr>
            <w:fldChar w:fldCharType="end"/>
          </w:r>
          <w:r>
            <w:rPr>
              <w:rFonts w:hint="eastAsia" w:ascii="方正大标宋_GBK" w:hAnsi="方正大标宋_GBK" w:eastAsia="方正大标宋_GBK" w:cs="方正大标宋_GBK"/>
              <w:bCs w:val="0"/>
              <w:snapToGrid/>
              <w:kern w:val="1"/>
              <w:sz w:val="32"/>
              <w:szCs w:val="52"/>
              <w:lang w:val="en-US" w:eastAsia="zh-CN"/>
            </w:rPr>
            <w:fldChar w:fldCharType="end"/>
          </w:r>
        </w:p>
        <w:p w14:paraId="3DCDA58D">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_Toc24746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一、矿产资源勘查开采优化方向</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_Toc24746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18</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4408E3EE">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_Toc25333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二、矿产资源产业重点发展区域</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_Toc25333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19</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3EDEB1BF">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sz w:val="24"/>
              <w:szCs w:val="24"/>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_Toc23407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三、勘查开采与保护规划分区</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_Toc23407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20</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50E6DECB">
          <w:pPr>
            <w:pStyle w:val="9"/>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方正大标宋_GBK" w:hAnsi="方正大标宋_GBK" w:eastAsia="方正大标宋_GBK" w:cs="方正大标宋_GBK"/>
              <w:bCs w:val="0"/>
              <w:snapToGrid/>
              <w:kern w:val="1"/>
              <w:sz w:val="32"/>
              <w:szCs w:val="52"/>
              <w:lang w:val="en-US" w:eastAsia="zh-CN"/>
            </w:rPr>
          </w:pP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HYPERLINK \l _Toc3489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第五章  加强矿产资源勘查开采利用与保护</w:t>
          </w:r>
          <w:r>
            <w:rPr>
              <w:rFonts w:hint="eastAsia" w:ascii="方正大标宋_GBK" w:hAnsi="方正大标宋_GBK" w:eastAsia="方正大标宋_GBK" w:cs="方正大标宋_GBK"/>
              <w:bCs w:val="0"/>
              <w:snapToGrid/>
              <w:kern w:val="1"/>
              <w:sz w:val="32"/>
              <w:szCs w:val="52"/>
              <w:lang w:val="en-US" w:eastAsia="zh-CN"/>
            </w:rPr>
            <w:tab/>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PAGEREF _Toc3489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22</w:t>
          </w:r>
          <w:r>
            <w:rPr>
              <w:rFonts w:hint="eastAsia" w:ascii="方正大标宋_GBK" w:hAnsi="方正大标宋_GBK" w:eastAsia="方正大标宋_GBK" w:cs="方正大标宋_GBK"/>
              <w:bCs w:val="0"/>
              <w:snapToGrid/>
              <w:kern w:val="1"/>
              <w:sz w:val="32"/>
              <w:szCs w:val="52"/>
              <w:lang w:val="en-US" w:eastAsia="zh-CN"/>
            </w:rPr>
            <w:fldChar w:fldCharType="end"/>
          </w:r>
          <w:r>
            <w:rPr>
              <w:rFonts w:hint="eastAsia" w:ascii="方正大标宋_GBK" w:hAnsi="方正大标宋_GBK" w:eastAsia="方正大标宋_GBK" w:cs="方正大标宋_GBK"/>
              <w:bCs w:val="0"/>
              <w:snapToGrid/>
              <w:kern w:val="1"/>
              <w:sz w:val="32"/>
              <w:szCs w:val="52"/>
              <w:lang w:val="en-US" w:eastAsia="zh-CN"/>
            </w:rPr>
            <w:fldChar w:fldCharType="end"/>
          </w:r>
        </w:p>
        <w:p w14:paraId="14BB0FC5">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_Toc5915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一、地质调查与勘查</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_Toc5915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22</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38085EEE">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_Toc427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二、科学确定开采总量和矿山数量</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_Toc427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22</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3118DBF5">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_Toc14188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三、优化开发利用结构</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_Toc14188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24</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1B227500">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_Toc22153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四、严格规划准入管理</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_Toc22153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25</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6C776C87">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sz w:val="24"/>
              <w:szCs w:val="24"/>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_Toc5639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五、合理划定勘查开采规划区块</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_Toc5639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27</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3329CFB6">
          <w:pPr>
            <w:pStyle w:val="9"/>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方正大标宋_GBK" w:hAnsi="方正大标宋_GBK" w:eastAsia="方正大标宋_GBK" w:cs="方正大标宋_GBK"/>
              <w:bCs w:val="0"/>
              <w:snapToGrid/>
              <w:kern w:val="1"/>
              <w:sz w:val="32"/>
              <w:szCs w:val="52"/>
              <w:lang w:val="en-US" w:eastAsia="zh-CN"/>
            </w:rPr>
          </w:pP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HYPERLINK \l _Toc10050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第六章  绿色矿山建设和矿区生态环境保护修复</w:t>
          </w:r>
          <w:r>
            <w:rPr>
              <w:rFonts w:hint="eastAsia" w:ascii="方正大标宋_GBK" w:hAnsi="方正大标宋_GBK" w:eastAsia="方正大标宋_GBK" w:cs="方正大标宋_GBK"/>
              <w:bCs w:val="0"/>
              <w:snapToGrid/>
              <w:kern w:val="1"/>
              <w:sz w:val="32"/>
              <w:szCs w:val="52"/>
              <w:lang w:val="en-US" w:eastAsia="zh-CN"/>
            </w:rPr>
            <w:tab/>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PAGEREF _Toc10050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30</w:t>
          </w:r>
          <w:r>
            <w:rPr>
              <w:rFonts w:hint="eastAsia" w:ascii="方正大标宋_GBK" w:hAnsi="方正大标宋_GBK" w:eastAsia="方正大标宋_GBK" w:cs="方正大标宋_GBK"/>
              <w:bCs w:val="0"/>
              <w:snapToGrid/>
              <w:kern w:val="1"/>
              <w:sz w:val="32"/>
              <w:szCs w:val="52"/>
              <w:lang w:val="en-US" w:eastAsia="zh-CN"/>
            </w:rPr>
            <w:fldChar w:fldCharType="end"/>
          </w:r>
          <w:r>
            <w:rPr>
              <w:rFonts w:hint="eastAsia" w:ascii="方正大标宋_GBK" w:hAnsi="方正大标宋_GBK" w:eastAsia="方正大标宋_GBK" w:cs="方正大标宋_GBK"/>
              <w:bCs w:val="0"/>
              <w:snapToGrid/>
              <w:kern w:val="1"/>
              <w:sz w:val="32"/>
              <w:szCs w:val="52"/>
              <w:lang w:val="en-US" w:eastAsia="zh-CN"/>
            </w:rPr>
            <w:fldChar w:fldCharType="end"/>
          </w:r>
        </w:p>
        <w:p w14:paraId="397E2138">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_Toc20962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一、绿色矿山建设</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_Toc20962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30</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455BCA10">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sz w:val="24"/>
              <w:szCs w:val="24"/>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_Toc3770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二、生产矿山生态修复</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_Toc3770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31</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0897FCE1">
          <w:pPr>
            <w:pStyle w:val="9"/>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方正大标宋_GBK" w:hAnsi="方正大标宋_GBK" w:eastAsia="方正大标宋_GBK" w:cs="方正大标宋_GBK"/>
              <w:bCs w:val="0"/>
              <w:snapToGrid/>
              <w:kern w:val="1"/>
              <w:sz w:val="32"/>
              <w:szCs w:val="52"/>
              <w:lang w:val="en-US" w:eastAsia="zh-CN"/>
            </w:rPr>
          </w:pP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HYPERLINK \l _Toc23286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第七章  重点项目</w:t>
          </w:r>
          <w:r>
            <w:rPr>
              <w:rFonts w:hint="eastAsia" w:ascii="方正大标宋_GBK" w:hAnsi="方正大标宋_GBK" w:eastAsia="方正大标宋_GBK" w:cs="方正大标宋_GBK"/>
              <w:bCs w:val="0"/>
              <w:snapToGrid/>
              <w:kern w:val="1"/>
              <w:sz w:val="32"/>
              <w:szCs w:val="52"/>
              <w:lang w:val="en-US" w:eastAsia="zh-CN"/>
            </w:rPr>
            <w:tab/>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PAGEREF _Toc23286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34</w:t>
          </w:r>
          <w:r>
            <w:rPr>
              <w:rFonts w:hint="eastAsia" w:ascii="方正大标宋_GBK" w:hAnsi="方正大标宋_GBK" w:eastAsia="方正大标宋_GBK" w:cs="方正大标宋_GBK"/>
              <w:bCs w:val="0"/>
              <w:snapToGrid/>
              <w:kern w:val="1"/>
              <w:sz w:val="32"/>
              <w:szCs w:val="52"/>
              <w:lang w:val="en-US" w:eastAsia="zh-CN"/>
            </w:rPr>
            <w:fldChar w:fldCharType="end"/>
          </w:r>
          <w:r>
            <w:rPr>
              <w:rFonts w:hint="eastAsia" w:ascii="方正大标宋_GBK" w:hAnsi="方正大标宋_GBK" w:eastAsia="方正大标宋_GBK" w:cs="方正大标宋_GBK"/>
              <w:bCs w:val="0"/>
              <w:snapToGrid/>
              <w:kern w:val="1"/>
              <w:sz w:val="32"/>
              <w:szCs w:val="52"/>
              <w:lang w:val="en-US" w:eastAsia="zh-CN"/>
            </w:rPr>
            <w:fldChar w:fldCharType="end"/>
          </w:r>
        </w:p>
        <w:p w14:paraId="7E758472">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default" w:eastAsia="仿宋_GB2312"/>
              <w:sz w:val="24"/>
              <w:szCs w:val="24"/>
              <w:lang w:val="en-US" w:eastAsia="zh-CN"/>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_Toc808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一、落实省级重点项目</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lang w:val="en-US" w:eastAsia="zh-CN"/>
            </w:rPr>
            <w:t xml:space="preserve"> </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lang w:val="en-US" w:eastAsia="zh-CN"/>
            </w:rPr>
            <w:t>34</w:t>
          </w:r>
        </w:p>
        <w:p w14:paraId="48ACDA16">
          <w:pPr>
            <w:pStyle w:val="9"/>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方正大标宋_GBK" w:hAnsi="方正大标宋_GBK" w:eastAsia="方正大标宋_GBK" w:cs="方正大标宋_GBK"/>
              <w:bCs w:val="0"/>
              <w:snapToGrid/>
              <w:kern w:val="1"/>
              <w:sz w:val="32"/>
              <w:szCs w:val="52"/>
              <w:lang w:val="en-US" w:eastAsia="zh-CN"/>
            </w:rPr>
          </w:pP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HYPERLINK \l _Toc29250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第八章  规划保障措施</w:t>
          </w:r>
          <w:r>
            <w:rPr>
              <w:rFonts w:hint="eastAsia" w:ascii="方正大标宋_GBK" w:hAnsi="方正大标宋_GBK" w:eastAsia="方正大标宋_GBK" w:cs="方正大标宋_GBK"/>
              <w:bCs w:val="0"/>
              <w:snapToGrid/>
              <w:kern w:val="1"/>
              <w:sz w:val="32"/>
              <w:szCs w:val="52"/>
              <w:lang w:val="en-US" w:eastAsia="zh-CN"/>
            </w:rPr>
            <w:tab/>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PAGEREF _Toc29250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36</w:t>
          </w:r>
          <w:r>
            <w:rPr>
              <w:rFonts w:hint="eastAsia" w:ascii="方正大标宋_GBK" w:hAnsi="方正大标宋_GBK" w:eastAsia="方正大标宋_GBK" w:cs="方正大标宋_GBK"/>
              <w:bCs w:val="0"/>
              <w:snapToGrid/>
              <w:kern w:val="1"/>
              <w:sz w:val="32"/>
              <w:szCs w:val="52"/>
              <w:lang w:val="en-US" w:eastAsia="zh-CN"/>
            </w:rPr>
            <w:fldChar w:fldCharType="end"/>
          </w:r>
          <w:r>
            <w:rPr>
              <w:rFonts w:hint="eastAsia" w:ascii="方正大标宋_GBK" w:hAnsi="方正大标宋_GBK" w:eastAsia="方正大标宋_GBK" w:cs="方正大标宋_GBK"/>
              <w:bCs w:val="0"/>
              <w:snapToGrid/>
              <w:kern w:val="1"/>
              <w:sz w:val="32"/>
              <w:szCs w:val="52"/>
              <w:lang w:val="en-US" w:eastAsia="zh-CN"/>
            </w:rPr>
            <w:fldChar w:fldCharType="end"/>
          </w:r>
        </w:p>
        <w:p w14:paraId="7CF3BE74">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_Toc14354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一、建立完善规划实施目标责任考核制度</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_Toc14354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36</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502ACCBE">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_Toc19445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二、</w:t>
          </w:r>
          <w:r>
            <w:rPr>
              <w:rFonts w:hint="default" w:ascii="仿宋_GB2312" w:hAnsi="仿宋_GB2312" w:eastAsia="仿宋_GB2312" w:cs="仿宋_GB2312"/>
              <w:smallCaps w:val="0"/>
              <w:color w:val="auto"/>
              <w:sz w:val="32"/>
              <w:szCs w:val="32"/>
              <w:lang w:val="en-US" w:eastAsia="zh-CN"/>
            </w:rPr>
            <w:t>矿业用地保障</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_Toc19445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37</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621C3311">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_Toc965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三、健全完善规划实施评估调整机制</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_Toc965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38</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1F87334B">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mallCaps w:val="0"/>
              <w:color w:val="auto"/>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_Toc22425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四、加强规划实施情况监测与监督检查</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_Toc22425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38</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04EF9470">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sz w:val="24"/>
              <w:szCs w:val="24"/>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HYPERLINK \l _Toc10564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lang w:val="en-US" w:eastAsia="zh-CN"/>
            </w:rPr>
            <w:t>五、提升规划管理智能化水平</w:t>
          </w:r>
          <w:r>
            <w:rPr>
              <w:rFonts w:hint="eastAsia" w:ascii="仿宋_GB2312" w:hAnsi="仿宋_GB2312" w:eastAsia="仿宋_GB2312" w:cs="仿宋_GB2312"/>
              <w:smallCaps w:val="0"/>
              <w:color w:val="auto"/>
              <w:sz w:val="32"/>
              <w:szCs w:val="32"/>
            </w:rPr>
            <w:tab/>
          </w: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color w:val="auto"/>
              <w:sz w:val="32"/>
              <w:szCs w:val="32"/>
            </w:rPr>
            <w:instrText xml:space="preserve"> PAGEREF _Toc10564 </w:instrText>
          </w:r>
          <w:r>
            <w:rPr>
              <w:rFonts w:hint="eastAsia" w:ascii="仿宋_GB2312" w:hAnsi="仿宋_GB2312" w:eastAsia="仿宋_GB2312" w:cs="仿宋_GB2312"/>
              <w:smallCaps w:val="0"/>
              <w:color w:val="auto"/>
              <w:sz w:val="32"/>
              <w:szCs w:val="32"/>
            </w:rPr>
            <w:fldChar w:fldCharType="separate"/>
          </w:r>
          <w:r>
            <w:rPr>
              <w:rFonts w:hint="eastAsia" w:ascii="仿宋_GB2312" w:hAnsi="仿宋_GB2312" w:eastAsia="仿宋_GB2312" w:cs="仿宋_GB2312"/>
              <w:smallCaps w:val="0"/>
              <w:color w:val="auto"/>
              <w:sz w:val="32"/>
              <w:szCs w:val="32"/>
            </w:rPr>
            <w:t>39</w:t>
          </w:r>
          <w:r>
            <w:rPr>
              <w:rFonts w:hint="eastAsia" w:ascii="仿宋_GB2312" w:hAnsi="仿宋_GB2312" w:eastAsia="仿宋_GB2312" w:cs="仿宋_GB2312"/>
              <w:smallCaps w:val="0"/>
              <w:color w:val="auto"/>
              <w:sz w:val="32"/>
              <w:szCs w:val="32"/>
            </w:rPr>
            <w:fldChar w:fldCharType="end"/>
          </w:r>
          <w:r>
            <w:rPr>
              <w:rFonts w:hint="eastAsia" w:ascii="仿宋_GB2312" w:hAnsi="仿宋_GB2312" w:eastAsia="仿宋_GB2312" w:cs="仿宋_GB2312"/>
              <w:smallCaps w:val="0"/>
              <w:color w:val="auto"/>
              <w:sz w:val="32"/>
              <w:szCs w:val="32"/>
            </w:rPr>
            <w:fldChar w:fldCharType="end"/>
          </w:r>
        </w:p>
        <w:p w14:paraId="295989ED">
          <w:pPr>
            <w:pStyle w:val="9"/>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方正大标宋_GBK" w:hAnsi="方正大标宋_GBK" w:eastAsia="方正大标宋_GBK" w:cs="方正大标宋_GBK"/>
              <w:bCs w:val="0"/>
              <w:snapToGrid/>
              <w:kern w:val="1"/>
              <w:sz w:val="32"/>
              <w:szCs w:val="52"/>
              <w:lang w:val="en-US" w:eastAsia="zh-CN"/>
            </w:rPr>
          </w:pP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HYPERLINK \l _Toc20479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第九章  规划环境影响评价</w:t>
          </w:r>
          <w:r>
            <w:rPr>
              <w:rFonts w:hint="eastAsia" w:ascii="方正大标宋_GBK" w:hAnsi="方正大标宋_GBK" w:eastAsia="方正大标宋_GBK" w:cs="方正大标宋_GBK"/>
              <w:bCs w:val="0"/>
              <w:snapToGrid/>
              <w:kern w:val="1"/>
              <w:sz w:val="32"/>
              <w:szCs w:val="52"/>
              <w:lang w:val="en-US" w:eastAsia="zh-CN"/>
            </w:rPr>
            <w:tab/>
          </w:r>
          <w:r>
            <w:rPr>
              <w:rFonts w:hint="eastAsia" w:ascii="方正大标宋_GBK" w:hAnsi="方正大标宋_GBK" w:eastAsia="方正大标宋_GBK" w:cs="方正大标宋_GBK"/>
              <w:bCs w:val="0"/>
              <w:snapToGrid/>
              <w:kern w:val="1"/>
              <w:sz w:val="32"/>
              <w:szCs w:val="52"/>
              <w:lang w:val="en-US" w:eastAsia="zh-CN"/>
            </w:rPr>
            <w:fldChar w:fldCharType="begin"/>
          </w:r>
          <w:r>
            <w:rPr>
              <w:rFonts w:hint="eastAsia" w:ascii="方正大标宋_GBK" w:hAnsi="方正大标宋_GBK" w:eastAsia="方正大标宋_GBK" w:cs="方正大标宋_GBK"/>
              <w:bCs w:val="0"/>
              <w:snapToGrid/>
              <w:kern w:val="1"/>
              <w:sz w:val="32"/>
              <w:szCs w:val="52"/>
              <w:lang w:val="en-US" w:eastAsia="zh-CN"/>
            </w:rPr>
            <w:instrText xml:space="preserve"> PAGEREF _Toc20479 </w:instrText>
          </w:r>
          <w:r>
            <w:rPr>
              <w:rFonts w:hint="eastAsia" w:ascii="方正大标宋_GBK" w:hAnsi="方正大标宋_GBK" w:eastAsia="方正大标宋_GBK" w:cs="方正大标宋_GBK"/>
              <w:bCs w:val="0"/>
              <w:snapToGrid/>
              <w:kern w:val="1"/>
              <w:sz w:val="32"/>
              <w:szCs w:val="52"/>
              <w:lang w:val="en-US" w:eastAsia="zh-CN"/>
            </w:rPr>
            <w:fldChar w:fldCharType="separate"/>
          </w:r>
          <w:r>
            <w:rPr>
              <w:rFonts w:hint="eastAsia" w:ascii="方正大标宋_GBK" w:hAnsi="方正大标宋_GBK" w:eastAsia="方正大标宋_GBK" w:cs="方正大标宋_GBK"/>
              <w:bCs w:val="0"/>
              <w:snapToGrid/>
              <w:kern w:val="1"/>
              <w:sz w:val="32"/>
              <w:szCs w:val="52"/>
              <w:lang w:val="en-US" w:eastAsia="zh-CN"/>
            </w:rPr>
            <w:t>40</w:t>
          </w:r>
          <w:r>
            <w:rPr>
              <w:rFonts w:hint="eastAsia" w:ascii="方正大标宋_GBK" w:hAnsi="方正大标宋_GBK" w:eastAsia="方正大标宋_GBK" w:cs="方正大标宋_GBK"/>
              <w:bCs w:val="0"/>
              <w:snapToGrid/>
              <w:kern w:val="1"/>
              <w:sz w:val="32"/>
              <w:szCs w:val="52"/>
              <w:lang w:val="en-US" w:eastAsia="zh-CN"/>
            </w:rPr>
            <w:fldChar w:fldCharType="end"/>
          </w:r>
          <w:r>
            <w:rPr>
              <w:rFonts w:hint="eastAsia" w:ascii="方正大标宋_GBK" w:hAnsi="方正大标宋_GBK" w:eastAsia="方正大标宋_GBK" w:cs="方正大标宋_GBK"/>
              <w:bCs w:val="0"/>
              <w:snapToGrid/>
              <w:kern w:val="1"/>
              <w:sz w:val="32"/>
              <w:szCs w:val="52"/>
              <w:lang w:val="en-US" w:eastAsia="zh-CN"/>
            </w:rPr>
            <w:fldChar w:fldCharType="end"/>
          </w:r>
        </w:p>
        <w:p w14:paraId="5315096C">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sz w:val="32"/>
              <w:szCs w:val="32"/>
            </w:rPr>
            <w:instrText xml:space="preserve"> HYPERLINK \l _Toc16141 </w:instrText>
          </w:r>
          <w:r>
            <w:rPr>
              <w:rFonts w:hint="eastAsia" w:ascii="仿宋_GB2312" w:hAnsi="仿宋_GB2312" w:eastAsia="仿宋_GB2312" w:cs="仿宋_GB2312"/>
              <w:smallCaps w:val="0"/>
              <w:sz w:val="32"/>
              <w:szCs w:val="32"/>
            </w:rPr>
            <w:fldChar w:fldCharType="separate"/>
          </w:r>
          <w:r>
            <w:rPr>
              <w:rFonts w:hint="eastAsia" w:ascii="仿宋_GB2312" w:hAnsi="仿宋_GB2312" w:eastAsia="仿宋_GB2312" w:cs="仿宋_GB2312"/>
              <w:bCs w:val="0"/>
              <w:smallCaps w:val="0"/>
              <w:sz w:val="32"/>
              <w:szCs w:val="32"/>
              <w:lang w:val="en-US" w:eastAsia="zh-CN"/>
            </w:rPr>
            <w:t>一、规划协调性分析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mallCaps w:val="0"/>
              <w:color w:val="auto"/>
              <w:sz w:val="32"/>
              <w:szCs w:val="32"/>
            </w:rPr>
            <w:fldChar w:fldCharType="end"/>
          </w:r>
        </w:p>
        <w:p w14:paraId="04B13A90">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sz w:val="32"/>
              <w:szCs w:val="32"/>
            </w:rPr>
            <w:instrText xml:space="preserve"> HYPERLINK \l _Toc25812 </w:instrText>
          </w:r>
          <w:r>
            <w:rPr>
              <w:rFonts w:hint="eastAsia" w:ascii="仿宋_GB2312" w:hAnsi="仿宋_GB2312" w:eastAsia="仿宋_GB2312" w:cs="仿宋_GB2312"/>
              <w:smallCaps w:val="0"/>
              <w:sz w:val="32"/>
              <w:szCs w:val="32"/>
            </w:rPr>
            <w:fldChar w:fldCharType="separate"/>
          </w:r>
          <w:r>
            <w:rPr>
              <w:rFonts w:hint="eastAsia" w:ascii="仿宋_GB2312" w:hAnsi="仿宋_GB2312" w:eastAsia="仿宋_GB2312" w:cs="仿宋_GB2312"/>
              <w:bCs w:val="0"/>
              <w:smallCaps w:val="0"/>
              <w:sz w:val="32"/>
              <w:szCs w:val="32"/>
              <w:lang w:val="en-US" w:eastAsia="zh-CN"/>
            </w:rPr>
            <w:t>二、规划环境影响分析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mallCaps w:val="0"/>
              <w:color w:val="auto"/>
              <w:sz w:val="32"/>
              <w:szCs w:val="32"/>
            </w:rPr>
            <w:fldChar w:fldCharType="end"/>
          </w:r>
        </w:p>
        <w:p w14:paraId="7FD8CE57">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sz w:val="32"/>
              <w:szCs w:val="32"/>
            </w:rPr>
            <w:instrText xml:space="preserve"> HYPERLINK \l _Toc1178 </w:instrText>
          </w:r>
          <w:r>
            <w:rPr>
              <w:rFonts w:hint="eastAsia" w:ascii="仿宋_GB2312" w:hAnsi="仿宋_GB2312" w:eastAsia="仿宋_GB2312" w:cs="仿宋_GB2312"/>
              <w:smallCaps w:val="0"/>
              <w:sz w:val="32"/>
              <w:szCs w:val="32"/>
            </w:rPr>
            <w:fldChar w:fldCharType="separate"/>
          </w:r>
          <w:r>
            <w:rPr>
              <w:rFonts w:hint="eastAsia" w:ascii="仿宋_GB2312" w:hAnsi="仿宋_GB2312" w:eastAsia="仿宋_GB2312" w:cs="仿宋_GB2312"/>
              <w:bCs w:val="0"/>
              <w:smallCaps w:val="0"/>
              <w:sz w:val="32"/>
              <w:szCs w:val="32"/>
              <w:lang w:val="en-US" w:eastAsia="zh-CN"/>
            </w:rPr>
            <w:t>三、预防和减轻不良环境影响的对策措施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mallCaps w:val="0"/>
              <w:color w:val="auto"/>
              <w:sz w:val="32"/>
              <w:szCs w:val="32"/>
            </w:rPr>
            <w:fldChar w:fldCharType="end"/>
          </w:r>
        </w:p>
        <w:p w14:paraId="0103A6D9">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sz w:val="32"/>
              <w:szCs w:val="32"/>
            </w:rPr>
            <w:instrText xml:space="preserve"> HYPERLINK \l _Toc29736 </w:instrText>
          </w:r>
          <w:r>
            <w:rPr>
              <w:rFonts w:hint="eastAsia" w:ascii="仿宋_GB2312" w:hAnsi="仿宋_GB2312" w:eastAsia="仿宋_GB2312" w:cs="仿宋_GB2312"/>
              <w:smallCaps w:val="0"/>
              <w:sz w:val="32"/>
              <w:szCs w:val="32"/>
            </w:rPr>
            <w:fldChar w:fldCharType="separate"/>
          </w:r>
          <w:r>
            <w:rPr>
              <w:rFonts w:hint="eastAsia" w:ascii="仿宋_GB2312" w:hAnsi="仿宋_GB2312" w:eastAsia="仿宋_GB2312" w:cs="仿宋_GB2312"/>
              <w:bCs w:val="0"/>
              <w:smallCaps w:val="0"/>
              <w:sz w:val="32"/>
              <w:szCs w:val="32"/>
              <w:lang w:val="en-US" w:eastAsia="zh-CN"/>
            </w:rPr>
            <w:t>四、矿山地质环境治理恢复重点项目的合理性评价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mallCaps w:val="0"/>
              <w:color w:val="auto"/>
              <w:sz w:val="32"/>
              <w:szCs w:val="32"/>
            </w:rPr>
            <w:fldChar w:fldCharType="end"/>
          </w:r>
        </w:p>
        <w:p w14:paraId="02A9A982">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sz w:val="32"/>
              <w:szCs w:val="32"/>
            </w:rPr>
            <w:instrText xml:space="preserve"> HYPERLINK \l _Toc29261 </w:instrText>
          </w:r>
          <w:r>
            <w:rPr>
              <w:rFonts w:hint="eastAsia" w:ascii="仿宋_GB2312" w:hAnsi="仿宋_GB2312" w:eastAsia="仿宋_GB2312" w:cs="仿宋_GB2312"/>
              <w:smallCaps w:val="0"/>
              <w:sz w:val="32"/>
              <w:szCs w:val="32"/>
            </w:rPr>
            <w:fldChar w:fldCharType="separate"/>
          </w:r>
          <w:r>
            <w:rPr>
              <w:rFonts w:hint="eastAsia" w:ascii="仿宋_GB2312" w:hAnsi="仿宋_GB2312" w:eastAsia="仿宋_GB2312" w:cs="仿宋_GB2312"/>
              <w:bCs w:val="0"/>
              <w:smallCaps w:val="0"/>
              <w:snapToGrid w:val="0"/>
              <w:spacing w:val="6"/>
              <w:kern w:val="0"/>
              <w:sz w:val="32"/>
              <w:szCs w:val="32"/>
              <w:lang w:val="en-US" w:eastAsia="zh-CN" w:bidi="ar-SA"/>
            </w:rPr>
            <w:t>五、开采规划生态环境准入条件的有效性评价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mallCaps w:val="0"/>
              <w:color w:val="auto"/>
              <w:sz w:val="32"/>
              <w:szCs w:val="32"/>
            </w:rPr>
            <w:fldChar w:fldCharType="end"/>
          </w:r>
        </w:p>
        <w:p w14:paraId="1219AD8E">
          <w:pPr>
            <w:pStyle w:val="10"/>
            <w:keepNext w:val="0"/>
            <w:keepLines w:val="0"/>
            <w:pageBreakBefore w:val="0"/>
            <w:widowControl/>
            <w:tabs>
              <w:tab w:val="right" w:leader="dot" w:pos="8307"/>
            </w:tabs>
            <w:kinsoku w:val="0"/>
            <w:wordWrap/>
            <w:overflowPunct/>
            <w:topLinePunct w:val="0"/>
            <w:autoSpaceDE w:val="0"/>
            <w:autoSpaceDN w:val="0"/>
            <w:bidi w:val="0"/>
            <w:adjustRightInd w:val="0"/>
            <w:snapToGrid w:val="0"/>
            <w:spacing w:line="64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mallCaps w:val="0"/>
              <w:color w:val="auto"/>
              <w:sz w:val="32"/>
              <w:szCs w:val="32"/>
            </w:rPr>
            <w:fldChar w:fldCharType="begin"/>
          </w:r>
          <w:r>
            <w:rPr>
              <w:rFonts w:hint="eastAsia" w:ascii="仿宋_GB2312" w:hAnsi="仿宋_GB2312" w:eastAsia="仿宋_GB2312" w:cs="仿宋_GB2312"/>
              <w:smallCaps w:val="0"/>
              <w:sz w:val="32"/>
              <w:szCs w:val="32"/>
            </w:rPr>
            <w:instrText xml:space="preserve"> HYPERLINK \l _Toc9499 </w:instrText>
          </w:r>
          <w:r>
            <w:rPr>
              <w:rFonts w:hint="eastAsia" w:ascii="仿宋_GB2312" w:hAnsi="仿宋_GB2312" w:eastAsia="仿宋_GB2312" w:cs="仿宋_GB2312"/>
              <w:smallCaps w:val="0"/>
              <w:sz w:val="32"/>
              <w:szCs w:val="32"/>
            </w:rPr>
            <w:fldChar w:fldCharType="separate"/>
          </w:r>
          <w:r>
            <w:rPr>
              <w:rFonts w:hint="eastAsia" w:ascii="仿宋_GB2312" w:hAnsi="仿宋_GB2312" w:eastAsia="仿宋_GB2312" w:cs="仿宋_GB2312"/>
              <w:bCs w:val="0"/>
              <w:smallCaps w:val="0"/>
              <w:snapToGrid w:val="0"/>
              <w:spacing w:val="6"/>
              <w:kern w:val="0"/>
              <w:sz w:val="32"/>
              <w:szCs w:val="32"/>
              <w:lang w:val="en-US" w:eastAsia="zh-CN" w:bidi="ar-SA"/>
            </w:rPr>
            <w:t>六、环境影响评价结论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mallCaps w:val="0"/>
              <w:color w:val="auto"/>
              <w:sz w:val="32"/>
              <w:szCs w:val="32"/>
            </w:rPr>
            <w:fldChar w:fldCharType="end"/>
          </w:r>
        </w:p>
        <w:p w14:paraId="0384B47F">
          <w:pPr>
            <w:keepNext w:val="0"/>
            <w:keepLines w:val="0"/>
            <w:pageBreakBefore w:val="0"/>
            <w:widowControl/>
            <w:kinsoku/>
            <w:wordWrap/>
            <w:overflowPunct/>
            <w:topLinePunct w:val="0"/>
            <w:autoSpaceDE w:val="0"/>
            <w:autoSpaceDN w:val="0"/>
            <w:bidi w:val="0"/>
            <w:adjustRightInd w:val="0"/>
            <w:snapToGrid w:val="0"/>
            <w:spacing w:line="640" w:lineRule="exact"/>
            <w:textAlignment w:val="baseline"/>
            <w:rPr>
              <w:rFonts w:ascii="Times New Roman" w:hAnsi="Times New Roman" w:eastAsia="仿宋" w:cs="仿宋"/>
              <w:smallCaps w:val="0"/>
              <w:snapToGrid w:val="0"/>
              <w:color w:val="auto"/>
              <w:kern w:val="0"/>
              <w:sz w:val="21"/>
              <w:szCs w:val="30"/>
              <w:lang w:val="en-US" w:eastAsia="en-US" w:bidi="ar-SA"/>
            </w:rPr>
          </w:pPr>
          <w:r>
            <w:rPr>
              <w:rFonts w:hint="eastAsia" w:ascii="Times New Roman" w:hAnsi="Times New Roman" w:eastAsia="仿宋_GB2312" w:cs="仿宋"/>
              <w:smallCaps w:val="0"/>
              <w:color w:val="auto"/>
              <w:szCs w:val="30"/>
            </w:rPr>
            <w:fldChar w:fldCharType="end"/>
          </w:r>
        </w:p>
      </w:sdtContent>
    </w:sdt>
    <w:sdt>
      <w:sdtPr>
        <w:rPr>
          <w:rFonts w:ascii="Times New Roman" w:hAnsi="Times New Roman" w:eastAsia="仿宋" w:cs="仿宋"/>
          <w:smallCaps w:val="0"/>
          <w:color w:val="auto"/>
          <w:sz w:val="30"/>
          <w:szCs w:val="30"/>
        </w:rPr>
        <w:id w:val="147455594"/>
        <w:showingPlcHdr/>
        <w:docPartObj>
          <w:docPartGallery w:val="Table of Contents"/>
          <w:docPartUnique/>
        </w:docPartObj>
      </w:sdtPr>
      <w:sdtEndPr>
        <w:rPr>
          <w:rFonts w:ascii="Times New Roman" w:hAnsi="Times New Roman" w:eastAsia="仿宋" w:cs="仿宋"/>
          <w:smallCaps w:val="0"/>
          <w:color w:val="auto"/>
          <w:sz w:val="30"/>
          <w:szCs w:val="30"/>
        </w:rPr>
      </w:sdtEndPr>
      <w:sdtContent>
        <w:p w14:paraId="1631386C">
          <w:pPr>
            <w:pageBreakBefore w:val="0"/>
            <w:tabs>
              <w:tab w:val="right" w:leader="dot" w:pos="8314"/>
            </w:tabs>
            <w:kinsoku/>
            <w:wordWrap/>
            <w:overflowPunct/>
            <w:topLinePunct w:val="0"/>
            <w:bidi w:val="0"/>
            <w:spacing w:before="325" w:line="217" w:lineRule="auto"/>
            <w:ind w:left="467"/>
            <w:rPr>
              <w:rFonts w:ascii="Times New Roman" w:hAnsi="Times New Roman" w:eastAsia="仿宋" w:cs="仿宋"/>
              <w:smallCaps w:val="0"/>
              <w:color w:val="auto"/>
              <w:sz w:val="30"/>
              <w:szCs w:val="30"/>
            </w:rPr>
          </w:pPr>
          <w:r>
            <w:rPr>
              <w:rFonts w:hint="eastAsia" w:ascii="Times New Roman" w:hAnsi="Times New Roman" w:eastAsia="仿宋" w:cs="仿宋"/>
              <w:smallCaps w:val="0"/>
              <w:color w:val="auto"/>
              <w:sz w:val="30"/>
              <w:szCs w:val="30"/>
              <w:lang w:eastAsia="zh-CN"/>
            </w:rPr>
            <w:t xml:space="preserve">     </w:t>
          </w:r>
        </w:p>
      </w:sdtContent>
    </w:sdt>
    <w:p w14:paraId="222C296B">
      <w:pPr>
        <w:pageBreakBefore w:val="0"/>
        <w:kinsoku/>
        <w:wordWrap/>
        <w:overflowPunct/>
        <w:topLinePunct w:val="0"/>
        <w:bidi w:val="0"/>
        <w:spacing w:line="217" w:lineRule="auto"/>
        <w:rPr>
          <w:rFonts w:ascii="Times New Roman" w:hAnsi="Times New Roman" w:eastAsia="仿宋" w:cs="仿宋"/>
          <w:smallCaps w:val="0"/>
          <w:color w:val="auto"/>
          <w:sz w:val="30"/>
          <w:szCs w:val="30"/>
        </w:rPr>
        <w:sectPr>
          <w:pgSz w:w="11907" w:h="16839"/>
          <w:pgMar w:top="1440" w:right="1800" w:bottom="1440" w:left="1800" w:header="0" w:footer="0" w:gutter="0"/>
          <w:cols w:space="720" w:num="1"/>
        </w:sectPr>
      </w:pPr>
    </w:p>
    <w:p w14:paraId="026BC474">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jc w:val="center"/>
        <w:textAlignment w:val="auto"/>
        <w:rPr>
          <w:rFonts w:hint="eastAsia" w:ascii="黑体" w:hAnsi="黑体" w:eastAsia="黑体" w:cs="黑体"/>
          <w:b w:val="0"/>
          <w:bCs w:val="0"/>
          <w:snapToGrid/>
          <w:color w:val="000000" w:themeColor="text1"/>
          <w:kern w:val="1"/>
          <w:sz w:val="36"/>
          <w:szCs w:val="36"/>
          <w:lang w:val="en-US" w:eastAsia="zh-CN"/>
          <w14:textFill>
            <w14:solidFill>
              <w14:schemeClr w14:val="tx1"/>
            </w14:solidFill>
          </w14:textFill>
        </w:rPr>
      </w:pPr>
      <w:bookmarkStart w:id="1" w:name="_Toc11527"/>
      <w:r>
        <w:rPr>
          <w:rFonts w:hint="eastAsia" w:ascii="黑体" w:hAnsi="黑体" w:eastAsia="黑体" w:cs="黑体"/>
          <w:b w:val="0"/>
          <w:bCs w:val="0"/>
          <w:snapToGrid/>
          <w:color w:val="000000" w:themeColor="text1"/>
          <w:kern w:val="1"/>
          <w:sz w:val="36"/>
          <w:szCs w:val="36"/>
          <w:lang w:val="en-US" w:eastAsia="zh-CN"/>
          <w14:textFill>
            <w14:solidFill>
              <w14:schemeClr w14:val="tx1"/>
            </w14:solidFill>
          </w14:textFill>
        </w:rPr>
        <w:t>总  则</w:t>
      </w:r>
      <w:bookmarkEnd w:id="1"/>
    </w:p>
    <w:p w14:paraId="7078E01F">
      <w:pPr>
        <w:pStyle w:val="5"/>
        <w:keepNext w:val="0"/>
        <w:keepLines w:val="0"/>
        <w:pageBreakBefore w:val="0"/>
        <w:widowControl w:val="0"/>
        <w:kinsoku/>
        <w:wordWrap/>
        <w:overflowPunct/>
        <w:topLinePunct w:val="0"/>
        <w:bidi w:val="0"/>
        <w:spacing w:line="245" w:lineRule="auto"/>
        <w:rPr>
          <w:rFonts w:ascii="Times New Roman" w:hAnsi="Times New Roman"/>
          <w:smallCaps w:val="0"/>
          <w:color w:val="auto"/>
        </w:rPr>
      </w:pPr>
    </w:p>
    <w:p w14:paraId="5298E1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矿产资源是国家建设和经济社会发展的重要物质基础，矿产资源合理开发利用事关黄河流域生态保护和高质量发展先行区示范市建设。为保障矿产资源安全供应，推进资源</w:t>
      </w:r>
      <w:r>
        <w:rPr>
          <w:rFonts w:hint="eastAsia" w:ascii="Times New Roman" w:hAnsi="Times New Roman" w:eastAsia="仿宋" w:cs="仿宋"/>
          <w:smallCaps w:val="0"/>
          <w:snapToGrid/>
          <w:color w:val="auto"/>
          <w:kern w:val="1"/>
          <w:sz w:val="32"/>
          <w:szCs w:val="32"/>
          <w:lang w:val="en-US" w:eastAsia="zh-CN"/>
        </w:rPr>
        <w:t>集约节约利用</w:t>
      </w:r>
      <w:r>
        <w:rPr>
          <w:rFonts w:hint="eastAsia" w:ascii="Times New Roman" w:hAnsi="Times New Roman" w:eastAsia="仿宋" w:cs="仿宋"/>
          <w:smallCaps w:val="0"/>
          <w:snapToGrid/>
          <w:color w:val="auto"/>
          <w:kern w:val="1"/>
          <w:sz w:val="32"/>
          <w:szCs w:val="32"/>
          <w:lang w:eastAsia="zh-CN"/>
        </w:rPr>
        <w:t>，</w:t>
      </w:r>
      <w:r>
        <w:rPr>
          <w:rFonts w:hint="eastAsia" w:ascii="Times New Roman" w:hAnsi="Times New Roman" w:eastAsia="仿宋" w:cs="仿宋"/>
          <w:smallCaps w:val="0"/>
          <w:snapToGrid/>
          <w:color w:val="auto"/>
          <w:kern w:val="1"/>
          <w:sz w:val="32"/>
          <w:szCs w:val="32"/>
          <w:lang w:val="en-US" w:eastAsia="zh-CN"/>
        </w:rPr>
        <w:t>实现绿色</w:t>
      </w:r>
      <w:r>
        <w:rPr>
          <w:rFonts w:hint="eastAsia" w:ascii="Times New Roman" w:hAnsi="Times New Roman" w:eastAsia="仿宋" w:cs="仿宋"/>
          <w:smallCaps w:val="0"/>
          <w:snapToGrid/>
          <w:color w:val="auto"/>
          <w:kern w:val="1"/>
          <w:sz w:val="32"/>
          <w:szCs w:val="32"/>
          <w:lang w:eastAsia="zh-CN"/>
        </w:rPr>
        <w:t>矿业绿色，</w:t>
      </w:r>
      <w:r>
        <w:rPr>
          <w:rFonts w:hint="eastAsia" w:ascii="Times New Roman" w:hAnsi="Times New Roman" w:eastAsia="仿宋" w:cs="仿宋"/>
          <w:smallCaps w:val="0"/>
          <w:snapToGrid/>
          <w:color w:val="auto"/>
          <w:kern w:val="1"/>
          <w:sz w:val="32"/>
          <w:szCs w:val="32"/>
          <w:lang w:val="en-US" w:eastAsia="zh-CN"/>
        </w:rPr>
        <w:t>继续</w:t>
      </w:r>
      <w:r>
        <w:rPr>
          <w:rFonts w:hint="eastAsia" w:ascii="Times New Roman" w:hAnsi="Times New Roman" w:eastAsia="仿宋" w:cs="仿宋"/>
          <w:smallCaps w:val="0"/>
          <w:snapToGrid/>
          <w:color w:val="auto"/>
          <w:kern w:val="1"/>
          <w:sz w:val="32"/>
          <w:szCs w:val="32"/>
          <w:lang w:eastAsia="zh-CN"/>
        </w:rPr>
        <w:t>深化矿产资源管理改革，促进矿业经济持续健康发展，依据《矿产资源法》《土地管理法》《森林法》《草原法》等相关法律法规，《矿产资源规划编制实施办法》等部门规章；《宁夏回族自治区矿产资源规划（202</w:t>
      </w:r>
      <w:r>
        <w:rPr>
          <w:rFonts w:hint="eastAsia" w:ascii="Times New Roman" w:hAnsi="Times New Roman" w:eastAsia="仿宋" w:cs="仿宋"/>
          <w:smallCaps w:val="0"/>
          <w:snapToGrid/>
          <w:color w:val="auto"/>
          <w:kern w:val="1"/>
          <w:sz w:val="32"/>
          <w:szCs w:val="32"/>
          <w:lang w:val="en-US" w:eastAsia="zh-CN"/>
        </w:rPr>
        <w:t>6</w:t>
      </w:r>
      <w:r>
        <w:rPr>
          <w:rFonts w:hint="eastAsia" w:ascii="Times New Roman" w:hAnsi="Times New Roman" w:eastAsia="仿宋" w:cs="仿宋"/>
          <w:smallCaps w:val="0"/>
          <w:snapToGrid/>
          <w:color w:val="auto"/>
          <w:kern w:val="1"/>
          <w:sz w:val="32"/>
          <w:szCs w:val="32"/>
          <w:lang w:eastAsia="zh-CN"/>
        </w:rPr>
        <w:t>-20</w:t>
      </w:r>
      <w:r>
        <w:rPr>
          <w:rFonts w:hint="eastAsia" w:ascii="Times New Roman" w:hAnsi="Times New Roman" w:eastAsia="仿宋" w:cs="仿宋"/>
          <w:smallCaps w:val="0"/>
          <w:snapToGrid/>
          <w:color w:val="auto"/>
          <w:kern w:val="1"/>
          <w:sz w:val="32"/>
          <w:szCs w:val="32"/>
          <w:lang w:val="en-US" w:eastAsia="zh-CN"/>
        </w:rPr>
        <w:t>30</w:t>
      </w:r>
      <w:r>
        <w:rPr>
          <w:rFonts w:hint="eastAsia" w:ascii="Times New Roman" w:hAnsi="Times New Roman" w:eastAsia="仿宋" w:cs="仿宋"/>
          <w:smallCaps w:val="0"/>
          <w:snapToGrid/>
          <w:color w:val="auto"/>
          <w:kern w:val="1"/>
          <w:sz w:val="32"/>
          <w:szCs w:val="32"/>
          <w:lang w:eastAsia="zh-CN"/>
        </w:rPr>
        <w:t>年）》；《银川市国民经济和社会发展第十</w:t>
      </w:r>
      <w:r>
        <w:rPr>
          <w:rFonts w:hint="eastAsia" w:ascii="Times New Roman" w:hAnsi="Times New Roman" w:eastAsia="仿宋" w:cs="仿宋"/>
          <w:smallCaps w:val="0"/>
          <w:snapToGrid/>
          <w:color w:val="auto"/>
          <w:kern w:val="1"/>
          <w:sz w:val="32"/>
          <w:szCs w:val="32"/>
          <w:lang w:val="en-US" w:eastAsia="zh-CN"/>
        </w:rPr>
        <w:t>五</w:t>
      </w:r>
      <w:r>
        <w:rPr>
          <w:rFonts w:hint="eastAsia" w:ascii="Times New Roman" w:hAnsi="Times New Roman" w:eastAsia="仿宋" w:cs="仿宋"/>
          <w:smallCaps w:val="0"/>
          <w:snapToGrid/>
          <w:color w:val="auto"/>
          <w:kern w:val="1"/>
          <w:sz w:val="32"/>
          <w:szCs w:val="32"/>
          <w:lang w:eastAsia="zh-CN"/>
        </w:rPr>
        <w:t>个五年规划和2035年远景目标纲要》、《银川市国土空间总体规划》等编制《银川市矿产资源规划（202</w:t>
      </w:r>
      <w:r>
        <w:rPr>
          <w:rFonts w:hint="eastAsia" w:ascii="Times New Roman" w:hAnsi="Times New Roman" w:eastAsia="仿宋" w:cs="仿宋"/>
          <w:smallCaps w:val="0"/>
          <w:snapToGrid/>
          <w:color w:val="auto"/>
          <w:kern w:val="1"/>
          <w:sz w:val="32"/>
          <w:szCs w:val="32"/>
          <w:lang w:val="en-US" w:eastAsia="zh-CN"/>
        </w:rPr>
        <w:t>6</w:t>
      </w:r>
      <w:r>
        <w:rPr>
          <w:rFonts w:hint="eastAsia" w:ascii="Times New Roman" w:hAnsi="Times New Roman" w:eastAsia="仿宋" w:cs="仿宋"/>
          <w:smallCaps w:val="0"/>
          <w:snapToGrid/>
          <w:color w:val="auto"/>
          <w:kern w:val="1"/>
          <w:sz w:val="32"/>
          <w:szCs w:val="32"/>
          <w:lang w:eastAsia="zh-CN"/>
        </w:rPr>
        <w:t>-20</w:t>
      </w:r>
      <w:r>
        <w:rPr>
          <w:rFonts w:hint="eastAsia" w:ascii="Times New Roman" w:hAnsi="Times New Roman" w:eastAsia="仿宋" w:cs="仿宋"/>
          <w:smallCaps w:val="0"/>
          <w:snapToGrid/>
          <w:color w:val="auto"/>
          <w:kern w:val="1"/>
          <w:sz w:val="32"/>
          <w:szCs w:val="32"/>
          <w:lang w:val="en-US" w:eastAsia="zh-CN"/>
        </w:rPr>
        <w:t>30</w:t>
      </w:r>
      <w:r>
        <w:rPr>
          <w:rFonts w:hint="eastAsia" w:ascii="Times New Roman" w:hAnsi="Times New Roman" w:eastAsia="仿宋" w:cs="仿宋"/>
          <w:smallCaps w:val="0"/>
          <w:snapToGrid/>
          <w:color w:val="auto"/>
          <w:kern w:val="1"/>
          <w:sz w:val="32"/>
          <w:szCs w:val="32"/>
          <w:lang w:eastAsia="zh-CN"/>
        </w:rPr>
        <w:t>年）》（以下简称《规划》）。</w:t>
      </w:r>
    </w:p>
    <w:p w14:paraId="6BF201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《规划》是落实自治区</w:t>
      </w:r>
      <w:r>
        <w:rPr>
          <w:rFonts w:hint="eastAsia" w:ascii="Times New Roman" w:hAnsi="Times New Roman" w:eastAsia="仿宋" w:cs="仿宋"/>
          <w:smallCaps w:val="0"/>
          <w:snapToGrid/>
          <w:color w:val="auto"/>
          <w:kern w:val="1"/>
          <w:sz w:val="32"/>
          <w:szCs w:val="32"/>
          <w:lang w:val="en-US" w:eastAsia="zh-CN"/>
        </w:rPr>
        <w:t>及银川市</w:t>
      </w:r>
      <w:r>
        <w:rPr>
          <w:rFonts w:hint="eastAsia" w:ascii="Times New Roman" w:hAnsi="Times New Roman" w:eastAsia="仿宋" w:cs="仿宋"/>
          <w:smallCaps w:val="0"/>
          <w:snapToGrid/>
          <w:color w:val="auto"/>
          <w:kern w:val="1"/>
          <w:sz w:val="32"/>
          <w:szCs w:val="32"/>
          <w:lang w:eastAsia="zh-CN"/>
        </w:rPr>
        <w:t>矿产资源战略、加强和改善矿产资源宏观管理的重要手段，是银川市矿产资源勘查、开采、保护、生态</w:t>
      </w:r>
      <w:r>
        <w:rPr>
          <w:rFonts w:hint="eastAsia" w:ascii="Times New Roman" w:hAnsi="Times New Roman" w:eastAsia="仿宋" w:cs="仿宋"/>
          <w:smallCaps w:val="0"/>
          <w:snapToGrid/>
          <w:color w:val="auto"/>
          <w:kern w:val="1"/>
          <w:sz w:val="32"/>
          <w:szCs w:val="32"/>
          <w:lang w:val="en-US" w:eastAsia="zh-CN"/>
        </w:rPr>
        <w:t>修复</w:t>
      </w:r>
      <w:r>
        <w:rPr>
          <w:rFonts w:hint="eastAsia" w:ascii="Times New Roman" w:hAnsi="Times New Roman" w:eastAsia="仿宋" w:cs="仿宋"/>
          <w:smallCaps w:val="0"/>
          <w:snapToGrid/>
          <w:color w:val="auto"/>
          <w:kern w:val="1"/>
          <w:sz w:val="32"/>
          <w:szCs w:val="32"/>
          <w:lang w:eastAsia="zh-CN"/>
        </w:rPr>
        <w:t>的指导性文件，是依法审批和监督管理地质勘查、矿产资源开发利用与保护活动的重要依据。</w:t>
      </w:r>
    </w:p>
    <w:p w14:paraId="2EABD3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《规划》适用范围为银川市境内除石油、天然气、放射性矿产以外的矿产资源。</w:t>
      </w:r>
    </w:p>
    <w:p w14:paraId="4812C3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 w:cs="仿宋"/>
          <w:smallCaps w:val="0"/>
          <w:color w:val="auto"/>
          <w:sz w:val="30"/>
          <w:szCs w:val="30"/>
        </w:rPr>
        <w:sectPr>
          <w:footerReference r:id="rId5" w:type="default"/>
          <w:pgSz w:w="11907" w:h="16839"/>
          <w:pgMar w:top="1440" w:right="1800" w:bottom="1440" w:left="1800" w:header="941" w:footer="943" w:gutter="0"/>
          <w:pgNumType w:fmt="decimal" w:start="1"/>
          <w:cols w:space="720" w:num="1"/>
        </w:sectPr>
      </w:pPr>
      <w:r>
        <w:rPr>
          <w:rFonts w:hint="eastAsia" w:ascii="Times New Roman" w:hAnsi="Times New Roman" w:eastAsia="仿宋" w:cs="仿宋"/>
          <w:smallCaps w:val="0"/>
          <w:snapToGrid/>
          <w:color w:val="auto"/>
          <w:kern w:val="1"/>
          <w:sz w:val="32"/>
          <w:szCs w:val="32"/>
          <w:lang w:eastAsia="zh-CN"/>
        </w:rPr>
        <w:t>《规划》以202</w:t>
      </w:r>
      <w:r>
        <w:rPr>
          <w:rFonts w:hint="eastAsia" w:ascii="Times New Roman" w:hAnsi="Times New Roman" w:eastAsia="仿宋" w:cs="仿宋"/>
          <w:smallCaps w:val="0"/>
          <w:snapToGrid/>
          <w:color w:val="auto"/>
          <w:kern w:val="1"/>
          <w:sz w:val="32"/>
          <w:szCs w:val="32"/>
          <w:lang w:val="en-US" w:eastAsia="zh-CN"/>
        </w:rPr>
        <w:t>5</w:t>
      </w:r>
      <w:r>
        <w:rPr>
          <w:rFonts w:hint="eastAsia" w:ascii="Times New Roman" w:hAnsi="Times New Roman" w:eastAsia="仿宋" w:cs="仿宋"/>
          <w:smallCaps w:val="0"/>
          <w:snapToGrid/>
          <w:color w:val="auto"/>
          <w:kern w:val="1"/>
          <w:sz w:val="32"/>
          <w:szCs w:val="32"/>
          <w:lang w:eastAsia="zh-CN"/>
        </w:rPr>
        <w:t>年为基期，目标年为20</w:t>
      </w:r>
      <w:r>
        <w:rPr>
          <w:rFonts w:hint="eastAsia" w:ascii="Times New Roman" w:hAnsi="Times New Roman" w:eastAsia="仿宋" w:cs="仿宋"/>
          <w:smallCaps w:val="0"/>
          <w:snapToGrid/>
          <w:color w:val="auto"/>
          <w:kern w:val="1"/>
          <w:sz w:val="32"/>
          <w:szCs w:val="32"/>
          <w:lang w:val="en-US" w:eastAsia="zh-CN"/>
        </w:rPr>
        <w:t>30</w:t>
      </w:r>
      <w:r>
        <w:rPr>
          <w:rFonts w:hint="eastAsia" w:ascii="Times New Roman" w:hAnsi="Times New Roman" w:eastAsia="仿宋" w:cs="仿宋"/>
          <w:smallCaps w:val="0"/>
          <w:snapToGrid/>
          <w:color w:val="auto"/>
          <w:kern w:val="1"/>
          <w:sz w:val="32"/>
          <w:szCs w:val="32"/>
          <w:lang w:eastAsia="zh-CN"/>
        </w:rPr>
        <w:t>年，展望到2035年。</w:t>
      </w:r>
    </w:p>
    <w:p w14:paraId="253E0836">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jc w:val="center"/>
        <w:textAlignment w:val="auto"/>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pPr>
      <w:bookmarkStart w:id="2" w:name="bookmark34"/>
      <w:bookmarkEnd w:id="2"/>
      <w:bookmarkStart w:id="3" w:name="_Toc25580"/>
      <w:r>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t>第一章   规划基础</w:t>
      </w:r>
      <w:bookmarkEnd w:id="3"/>
    </w:p>
    <w:p w14:paraId="6FEC1AB4">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4" w:name="_Toc25503"/>
      <w:r>
        <w:rPr>
          <w:rFonts w:hint="eastAsia" w:ascii="黑体" w:hAnsi="黑体" w:eastAsia="黑体" w:cs="黑体"/>
          <w:b w:val="0"/>
          <w:bCs w:val="0"/>
          <w:smallCaps w:val="0"/>
          <w:color w:val="auto"/>
          <w:sz w:val="32"/>
          <w:szCs w:val="32"/>
          <w:lang w:val="en-US" w:eastAsia="zh-CN"/>
        </w:rPr>
        <w:t>一、矿产资源概况及矿业发展现状</w:t>
      </w:r>
      <w:bookmarkEnd w:id="4"/>
    </w:p>
    <w:p w14:paraId="24C02A1A">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（一）经济发展概况</w:t>
      </w:r>
    </w:p>
    <w:p w14:paraId="1F817CE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银川市位于黄河上游宁夏平原中部。东过黄河，与吴忠市盐池县和内蒙古自治区鄂尔多斯市鄂托克前旗接壤；西依贺兰山，与内蒙古自治区阿拉善盟为邻；南与吴忠市利通区、青铜峡市相连；北与石嘴山市平罗县相连。地理坐标：北纬37°29′～38°53′，东经105°49′～106°53′，行政区划面积9025.38平方千米。202</w:t>
      </w:r>
      <w:r>
        <w:rPr>
          <w:rFonts w:hint="eastAsia" w:ascii="Times New Roman" w:hAnsi="Times New Roman" w:eastAsia="仿宋" w:cs="仿宋"/>
          <w:smallCaps w:val="0"/>
          <w:snapToGrid/>
          <w:color w:val="auto"/>
          <w:kern w:val="1"/>
          <w:sz w:val="32"/>
          <w:szCs w:val="32"/>
          <w:lang w:val="en-US" w:eastAsia="zh-CN"/>
        </w:rPr>
        <w:t>4</w:t>
      </w:r>
      <w:r>
        <w:rPr>
          <w:rFonts w:hint="eastAsia" w:ascii="Times New Roman" w:hAnsi="Times New Roman" w:eastAsia="仿宋" w:cs="仿宋"/>
          <w:smallCaps w:val="0"/>
          <w:snapToGrid/>
          <w:color w:val="auto"/>
          <w:kern w:val="1"/>
          <w:sz w:val="32"/>
          <w:szCs w:val="32"/>
          <w:lang w:eastAsia="zh-CN"/>
        </w:rPr>
        <w:t>年末全市人口</w:t>
      </w:r>
      <w:r>
        <w:rPr>
          <w:rFonts w:hint="eastAsia" w:ascii="Times New Roman" w:hAnsi="Times New Roman" w:eastAsia="仿宋" w:cs="仿宋"/>
          <w:smallCaps w:val="0"/>
          <w:snapToGrid/>
          <w:color w:val="auto"/>
          <w:kern w:val="1"/>
          <w:sz w:val="32"/>
          <w:szCs w:val="32"/>
          <w:lang w:val="en-US" w:eastAsia="zh-CN"/>
        </w:rPr>
        <w:t>291.47</w:t>
      </w:r>
      <w:r>
        <w:rPr>
          <w:rFonts w:hint="eastAsia" w:ascii="Times New Roman" w:hAnsi="Times New Roman" w:eastAsia="仿宋" w:cs="仿宋"/>
          <w:smallCaps w:val="0"/>
          <w:snapToGrid/>
          <w:color w:val="auto"/>
          <w:kern w:val="1"/>
          <w:sz w:val="32"/>
          <w:szCs w:val="32"/>
          <w:lang w:eastAsia="zh-CN"/>
        </w:rPr>
        <w:t>万人。</w:t>
      </w:r>
    </w:p>
    <w:p w14:paraId="17D7CFCE">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（二）矿产资源概况</w:t>
      </w:r>
    </w:p>
    <w:p w14:paraId="1B6FA5C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银川市</w:t>
      </w:r>
      <w:r>
        <w:rPr>
          <w:rFonts w:hint="eastAsia" w:ascii="Times New Roman" w:hAnsi="Times New Roman" w:eastAsia="仿宋" w:cs="仿宋"/>
          <w:smallCaps w:val="0"/>
          <w:snapToGrid/>
          <w:color w:val="auto"/>
          <w:kern w:val="1"/>
          <w:sz w:val="32"/>
          <w:szCs w:val="32"/>
          <w:lang w:val="en-US" w:eastAsia="zh-CN"/>
        </w:rPr>
        <w:t>已经发现的能源矿产有煤炭、煤层气、地热等；非煤矿产有石灰岩、建筑用砂、白云岩、砚石、磷矿、建筑用辉绿岩、砖瓦用粘土</w:t>
      </w:r>
      <w:r>
        <w:rPr>
          <w:rFonts w:hint="eastAsia" w:ascii="Times New Roman" w:hAnsi="Times New Roman" w:eastAsia="仿宋" w:cs="仿宋"/>
          <w:smallCaps w:val="0"/>
          <w:snapToGrid/>
          <w:color w:val="auto"/>
          <w:kern w:val="1"/>
          <w:sz w:val="32"/>
          <w:szCs w:val="32"/>
          <w:lang w:eastAsia="zh-CN"/>
        </w:rPr>
        <w:t>等。煤炭、</w:t>
      </w:r>
      <w:r>
        <w:rPr>
          <w:rFonts w:hint="eastAsia" w:ascii="Times New Roman" w:hAnsi="Times New Roman" w:eastAsia="仿宋" w:cs="仿宋"/>
          <w:smallCaps w:val="0"/>
          <w:snapToGrid/>
          <w:color w:val="auto"/>
          <w:kern w:val="1"/>
          <w:sz w:val="32"/>
          <w:szCs w:val="32"/>
          <w:lang w:val="en-US" w:eastAsia="zh-CN"/>
        </w:rPr>
        <w:t>建筑石料</w:t>
      </w:r>
      <w:r>
        <w:rPr>
          <w:rFonts w:hint="eastAsia" w:ascii="Times New Roman" w:hAnsi="Times New Roman" w:eastAsia="仿宋" w:cs="仿宋"/>
          <w:smallCaps w:val="0"/>
          <w:snapToGrid/>
          <w:color w:val="auto"/>
          <w:kern w:val="1"/>
          <w:sz w:val="32"/>
          <w:szCs w:val="32"/>
          <w:lang w:eastAsia="zh-CN"/>
        </w:rPr>
        <w:t>资源丰富，具有矿产地相对集中，少数矿种质量特优，埋藏浅，开发技术条件好，开发潜力大的优势。</w:t>
      </w:r>
    </w:p>
    <w:p w14:paraId="3284FD1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 w:cs="仿宋"/>
          <w:b/>
          <w:bCs/>
          <w:smallCaps w:val="0"/>
          <w:snapToGrid/>
          <w:color w:val="auto"/>
          <w:kern w:val="1"/>
          <w:sz w:val="32"/>
          <w:szCs w:val="32"/>
          <w:lang w:val="en-US" w:eastAsia="zh-CN"/>
        </w:rPr>
      </w:pPr>
      <w:r>
        <w:rPr>
          <w:rFonts w:hint="eastAsia" w:ascii="Times New Roman" w:hAnsi="Times New Roman" w:eastAsia="仿宋" w:cs="仿宋"/>
          <w:b/>
          <w:bCs/>
          <w:smallCaps w:val="0"/>
          <w:snapToGrid/>
          <w:color w:val="auto"/>
          <w:kern w:val="1"/>
          <w:sz w:val="32"/>
          <w:szCs w:val="32"/>
          <w:lang w:val="en-US" w:eastAsia="zh-CN"/>
        </w:rPr>
        <w:t>1.能源矿产</w:t>
      </w:r>
    </w:p>
    <w:p w14:paraId="7C44ABC4">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highlight w:val="yellow"/>
          <w:lang w:eastAsia="zh-CN"/>
        </w:rPr>
      </w:pPr>
      <w:r>
        <w:rPr>
          <w:rFonts w:hint="eastAsia" w:ascii="Times New Roman" w:hAnsi="Times New Roman" w:eastAsia="仿宋" w:cs="仿宋"/>
          <w:b/>
          <w:bCs/>
          <w:smallCaps w:val="0"/>
          <w:snapToGrid/>
          <w:color w:val="auto"/>
          <w:kern w:val="1"/>
          <w:sz w:val="32"/>
          <w:szCs w:val="32"/>
          <w:lang w:eastAsia="zh-CN"/>
        </w:rPr>
        <w:t>煤炭：</w:t>
      </w:r>
      <w:r>
        <w:rPr>
          <w:rFonts w:hint="eastAsia" w:ascii="Times New Roman" w:hAnsi="Times New Roman" w:eastAsia="仿宋" w:cs="仿宋"/>
          <w:smallCaps w:val="0"/>
          <w:snapToGrid/>
          <w:color w:val="auto"/>
          <w:kern w:val="1"/>
          <w:sz w:val="32"/>
          <w:szCs w:val="32"/>
          <w:lang w:val="en-US" w:eastAsia="zh-CN"/>
        </w:rPr>
        <w:t>银川市</w:t>
      </w:r>
      <w:r>
        <w:rPr>
          <w:rFonts w:hint="eastAsia" w:ascii="Times New Roman" w:hAnsi="Times New Roman" w:eastAsia="仿宋" w:cs="仿宋"/>
          <w:smallCaps w:val="0"/>
          <w:snapToGrid/>
          <w:color w:val="auto"/>
          <w:kern w:val="1"/>
          <w:sz w:val="32"/>
          <w:szCs w:val="32"/>
          <w:lang w:eastAsia="zh-CN"/>
        </w:rPr>
        <w:t>煤炭资源丰富，</w:t>
      </w:r>
      <w:r>
        <w:rPr>
          <w:rFonts w:hint="eastAsia" w:ascii="Times New Roman" w:hAnsi="Times New Roman" w:eastAsia="仿宋" w:cs="仿宋"/>
          <w:smallCaps w:val="0"/>
          <w:snapToGrid/>
          <w:color w:val="auto"/>
          <w:kern w:val="1"/>
          <w:sz w:val="32"/>
          <w:szCs w:val="32"/>
          <w:lang w:val="en-US" w:eastAsia="zh-CN"/>
        </w:rPr>
        <w:t>现</w:t>
      </w:r>
      <w:r>
        <w:rPr>
          <w:rFonts w:hint="eastAsia" w:ascii="Times New Roman" w:hAnsi="Times New Roman" w:eastAsia="仿宋" w:cs="仿宋"/>
          <w:smallCaps w:val="0"/>
          <w:snapToGrid/>
          <w:color w:val="auto"/>
          <w:kern w:val="1"/>
          <w:sz w:val="32"/>
          <w:szCs w:val="32"/>
          <w:lang w:eastAsia="zh-CN"/>
        </w:rPr>
        <w:t>有矿产地</w:t>
      </w:r>
      <w:r>
        <w:rPr>
          <w:rFonts w:hint="eastAsia" w:ascii="Times New Roman" w:hAnsi="Times New Roman" w:eastAsia="仿宋" w:cs="仿宋"/>
          <w:smallCaps w:val="0"/>
          <w:snapToGrid/>
          <w:color w:val="auto"/>
          <w:kern w:val="1"/>
          <w:sz w:val="32"/>
          <w:szCs w:val="32"/>
          <w:lang w:val="en-US" w:eastAsia="zh-CN"/>
        </w:rPr>
        <w:t>23</w:t>
      </w:r>
      <w:r>
        <w:rPr>
          <w:rFonts w:hint="eastAsia" w:ascii="Times New Roman" w:hAnsi="Times New Roman" w:eastAsia="仿宋" w:cs="仿宋"/>
          <w:smallCaps w:val="0"/>
          <w:snapToGrid/>
          <w:color w:val="auto"/>
          <w:kern w:val="1"/>
          <w:sz w:val="32"/>
          <w:szCs w:val="32"/>
          <w:lang w:eastAsia="zh-CN"/>
        </w:rPr>
        <w:t>处</w:t>
      </w:r>
      <w:r>
        <w:rPr>
          <w:rFonts w:hint="eastAsia" w:ascii="Times New Roman" w:hAnsi="Times New Roman" w:eastAsia="仿宋" w:cs="仿宋"/>
          <w:smallCaps w:val="0"/>
          <w:snapToGrid/>
          <w:color w:val="auto"/>
          <w:kern w:val="1"/>
          <w:sz w:val="32"/>
          <w:szCs w:val="32"/>
          <w:lang w:val="en-US" w:eastAsia="zh-CN"/>
        </w:rPr>
        <w:t>。</w:t>
      </w:r>
    </w:p>
    <w:p w14:paraId="07817C2E">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 w:cs="仿宋"/>
          <w:smallCaps w:val="0"/>
          <w:snapToGrid/>
          <w:color w:val="auto"/>
          <w:kern w:val="1"/>
          <w:sz w:val="32"/>
          <w:szCs w:val="32"/>
          <w:lang w:val="en-US" w:eastAsia="zh-CN"/>
        </w:rPr>
      </w:pPr>
      <w:r>
        <w:rPr>
          <w:rFonts w:hint="eastAsia" w:ascii="Times New Roman" w:hAnsi="Times New Roman" w:eastAsia="仿宋" w:cs="仿宋"/>
          <w:b/>
          <w:bCs/>
          <w:smallCaps w:val="0"/>
          <w:snapToGrid/>
          <w:color w:val="auto"/>
          <w:kern w:val="1"/>
          <w:sz w:val="32"/>
          <w:szCs w:val="32"/>
          <w:lang w:val="en-US" w:eastAsia="zh-CN"/>
        </w:rPr>
        <w:t>煤层气：</w:t>
      </w:r>
      <w:r>
        <w:rPr>
          <w:rFonts w:hint="eastAsia" w:ascii="Times New Roman" w:hAnsi="Times New Roman" w:eastAsia="仿宋" w:cs="仿宋"/>
          <w:smallCaps w:val="0"/>
          <w:snapToGrid/>
          <w:color w:val="auto"/>
          <w:kern w:val="1"/>
          <w:sz w:val="32"/>
          <w:szCs w:val="32"/>
          <w:lang w:val="en-US" w:eastAsia="zh-CN"/>
        </w:rPr>
        <w:t>银川市煤层气资源主要赋存于灵武横城、红墩子矿区，属低阶煤煤层气，储层条件较好。目前，银川市煤层气开发利用处于勘查阶段，未实现规模化商业开发。</w:t>
      </w:r>
    </w:p>
    <w:p w14:paraId="25C40879">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地热：</w:t>
      </w:r>
      <w:r>
        <w:rPr>
          <w:rFonts w:hint="eastAsia" w:ascii="Times New Roman" w:hAnsi="Times New Roman" w:eastAsia="仿宋" w:cs="仿宋"/>
          <w:smallCaps w:val="0"/>
          <w:snapToGrid/>
          <w:color w:val="auto"/>
          <w:kern w:val="1"/>
          <w:sz w:val="32"/>
          <w:szCs w:val="32"/>
          <w:lang w:val="en-US" w:eastAsia="zh-CN"/>
        </w:rPr>
        <w:t>银川市地热资源划定为银川盆地沉积型地热资源和鄂尔多斯西缘隆起断裂型地热资源，</w:t>
      </w:r>
      <w:r>
        <w:rPr>
          <w:rFonts w:hint="eastAsia" w:ascii="Times New Roman" w:hAnsi="Times New Roman" w:eastAsia="仿宋" w:cs="仿宋"/>
          <w:smallCaps w:val="0"/>
          <w:snapToGrid/>
          <w:color w:val="auto"/>
          <w:kern w:val="1"/>
          <w:sz w:val="32"/>
          <w:szCs w:val="32"/>
          <w:lang w:eastAsia="zh-CN"/>
        </w:rPr>
        <w:t>主要分布于西夏区、兴庆区、永宁县。</w:t>
      </w:r>
    </w:p>
    <w:p w14:paraId="49F64CBA">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 w:cs="仿宋"/>
          <w:b/>
          <w:bCs/>
          <w:smallCaps w:val="0"/>
          <w:snapToGrid/>
          <w:color w:val="auto"/>
          <w:kern w:val="1"/>
          <w:sz w:val="32"/>
          <w:szCs w:val="32"/>
          <w:lang w:val="en-US" w:eastAsia="zh-CN"/>
        </w:rPr>
      </w:pPr>
      <w:r>
        <w:rPr>
          <w:rFonts w:hint="eastAsia" w:ascii="Times New Roman" w:hAnsi="Times New Roman" w:eastAsia="仿宋" w:cs="仿宋"/>
          <w:b/>
          <w:bCs/>
          <w:smallCaps w:val="0"/>
          <w:snapToGrid/>
          <w:color w:val="auto"/>
          <w:kern w:val="1"/>
          <w:sz w:val="32"/>
          <w:szCs w:val="32"/>
          <w:lang w:val="en-US" w:eastAsia="zh-CN"/>
        </w:rPr>
        <w:t>2.非煤矿产</w:t>
      </w:r>
    </w:p>
    <w:p w14:paraId="38BC59D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 w:cs="仿宋"/>
          <w:smallCaps w:val="0"/>
          <w:snapToGrid/>
          <w:color w:val="auto"/>
          <w:kern w:val="1"/>
          <w:sz w:val="32"/>
          <w:szCs w:val="32"/>
          <w:lang w:val="en-US" w:eastAsia="zh-CN"/>
        </w:rPr>
      </w:pPr>
      <w:r>
        <w:rPr>
          <w:rFonts w:hint="eastAsia" w:ascii="Times New Roman" w:hAnsi="Times New Roman" w:eastAsia="仿宋" w:cs="仿宋"/>
          <w:b/>
          <w:bCs/>
          <w:smallCaps w:val="0"/>
          <w:snapToGrid/>
          <w:color w:val="auto"/>
          <w:kern w:val="1"/>
          <w:sz w:val="32"/>
          <w:szCs w:val="32"/>
          <w:lang w:val="en-US" w:eastAsia="zh-CN"/>
        </w:rPr>
        <w:t>石灰岩</w:t>
      </w:r>
      <w:r>
        <w:rPr>
          <w:rFonts w:hint="eastAsia" w:ascii="Times New Roman" w:hAnsi="Times New Roman" w:eastAsia="仿宋" w:cs="仿宋"/>
          <w:b/>
          <w:bCs/>
          <w:smallCaps w:val="0"/>
          <w:snapToGrid/>
          <w:color w:val="auto"/>
          <w:kern w:val="1"/>
          <w:sz w:val="32"/>
          <w:szCs w:val="32"/>
          <w:lang w:eastAsia="zh-CN"/>
        </w:rPr>
        <w:t>：</w:t>
      </w:r>
      <w:r>
        <w:rPr>
          <w:rFonts w:hint="eastAsia" w:ascii="Times New Roman" w:hAnsi="Times New Roman" w:eastAsia="仿宋" w:cs="仿宋"/>
          <w:smallCaps w:val="0"/>
          <w:snapToGrid/>
          <w:color w:val="auto"/>
          <w:kern w:val="1"/>
          <w:sz w:val="32"/>
          <w:szCs w:val="32"/>
          <w:lang w:eastAsia="zh-CN"/>
        </w:rPr>
        <w:t>石灰岩是银川市最具优势和资源保障能力的非金属矿产，也是水泥、建材、化工、冶金等产业发展的</w:t>
      </w:r>
      <w:r>
        <w:rPr>
          <w:rFonts w:hint="eastAsia" w:ascii="Times New Roman" w:hAnsi="Times New Roman" w:eastAsia="仿宋" w:cs="仿宋"/>
          <w:smallCaps w:val="0"/>
          <w:snapToGrid/>
          <w:color w:val="auto"/>
          <w:kern w:val="1"/>
          <w:sz w:val="32"/>
          <w:szCs w:val="32"/>
          <w:lang w:val="en-US" w:eastAsia="zh-CN"/>
        </w:rPr>
        <w:t>重要</w:t>
      </w:r>
      <w:r>
        <w:rPr>
          <w:rFonts w:hint="eastAsia" w:ascii="Times New Roman" w:hAnsi="Times New Roman" w:eastAsia="仿宋" w:cs="仿宋"/>
          <w:smallCaps w:val="0"/>
          <w:snapToGrid/>
          <w:color w:val="auto"/>
          <w:kern w:val="1"/>
          <w:sz w:val="32"/>
          <w:szCs w:val="32"/>
          <w:lang w:eastAsia="zh-CN"/>
        </w:rPr>
        <w:t>基础原料。</w:t>
      </w:r>
      <w:r>
        <w:rPr>
          <w:rFonts w:hint="eastAsia" w:ascii="Times New Roman" w:hAnsi="Times New Roman" w:eastAsia="仿宋" w:cs="仿宋"/>
          <w:smallCaps w:val="0"/>
          <w:snapToGrid/>
          <w:color w:val="auto"/>
          <w:kern w:val="1"/>
          <w:sz w:val="32"/>
          <w:szCs w:val="32"/>
          <w:lang w:val="en-US" w:eastAsia="zh-CN"/>
        </w:rPr>
        <w:t>已开发利用的石灰岩有水泥用灰岩、建筑石料用灰岩2种。</w:t>
      </w:r>
    </w:p>
    <w:p w14:paraId="2DF8B288">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建筑用砂：</w:t>
      </w:r>
      <w:r>
        <w:rPr>
          <w:rFonts w:hint="eastAsia" w:ascii="Times New Roman" w:hAnsi="Times New Roman" w:eastAsia="仿宋" w:cs="仿宋"/>
          <w:b w:val="0"/>
          <w:bCs w:val="0"/>
          <w:smallCaps w:val="0"/>
          <w:snapToGrid/>
          <w:color w:val="auto"/>
          <w:kern w:val="1"/>
          <w:sz w:val="32"/>
          <w:szCs w:val="32"/>
          <w:lang w:eastAsia="zh-CN"/>
        </w:rPr>
        <w:t>现有矿区3处</w:t>
      </w:r>
      <w:r>
        <w:rPr>
          <w:rFonts w:hint="eastAsia" w:ascii="Times New Roman" w:hAnsi="Times New Roman" w:eastAsia="仿宋" w:cs="仿宋"/>
          <w:smallCaps w:val="0"/>
          <w:snapToGrid/>
          <w:color w:val="auto"/>
          <w:kern w:val="1"/>
          <w:sz w:val="32"/>
          <w:szCs w:val="32"/>
          <w:lang w:eastAsia="zh-CN"/>
        </w:rPr>
        <w:t>。</w:t>
      </w:r>
    </w:p>
    <w:p w14:paraId="295522F8">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default"/>
          <w:lang w:val="en-US" w:eastAsia="zh-CN"/>
        </w:rPr>
      </w:pPr>
      <w:r>
        <w:rPr>
          <w:rFonts w:hint="eastAsia" w:ascii="Times New Roman" w:hAnsi="Times New Roman" w:eastAsia="仿宋" w:cs="仿宋"/>
          <w:b/>
          <w:bCs/>
          <w:smallCaps w:val="0"/>
          <w:snapToGrid/>
          <w:color w:val="auto"/>
          <w:kern w:val="1"/>
          <w:sz w:val="32"/>
          <w:szCs w:val="32"/>
          <w:lang w:val="en-US" w:eastAsia="zh-CN"/>
        </w:rPr>
        <w:t>白云岩：</w:t>
      </w:r>
      <w:r>
        <w:rPr>
          <w:rFonts w:hint="eastAsia" w:ascii="Times New Roman" w:hAnsi="Times New Roman" w:eastAsia="仿宋" w:cs="仿宋"/>
          <w:b w:val="0"/>
          <w:bCs w:val="0"/>
          <w:smallCaps w:val="0"/>
          <w:snapToGrid/>
          <w:color w:val="auto"/>
          <w:kern w:val="1"/>
          <w:sz w:val="32"/>
          <w:szCs w:val="32"/>
          <w:lang w:val="en-US" w:eastAsia="zh-CN"/>
        </w:rPr>
        <w:t>分为冶镁用白云岩和冶金用白云岩</w:t>
      </w:r>
      <w:r>
        <w:rPr>
          <w:rFonts w:hint="eastAsia" w:ascii="Times New Roman" w:hAnsi="Times New Roman" w:eastAsia="仿宋" w:cs="仿宋"/>
          <w:smallCaps w:val="0"/>
          <w:snapToGrid/>
          <w:color w:val="auto"/>
          <w:kern w:val="1"/>
          <w:sz w:val="32"/>
          <w:szCs w:val="32"/>
          <w:lang w:val="en-US" w:eastAsia="zh-CN"/>
        </w:rPr>
        <w:t>。</w:t>
      </w:r>
    </w:p>
    <w:p w14:paraId="082DE180">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43" w:firstLineChars="200"/>
        <w:jc w:val="both"/>
        <w:textAlignment w:val="baseline"/>
        <w:rPr>
          <w:rFonts w:hint="default" w:ascii="Times New Roman" w:hAnsi="Times New Roman" w:eastAsia="仿宋" w:cs="仿宋"/>
          <w:smallCaps w:val="0"/>
          <w:snapToGrid/>
          <w:color w:val="auto"/>
          <w:kern w:val="1"/>
          <w:sz w:val="32"/>
          <w:szCs w:val="32"/>
          <w:lang w:val="en-US" w:eastAsia="zh-CN" w:bidi="ar-SA"/>
        </w:rPr>
      </w:pPr>
      <w:r>
        <w:rPr>
          <w:rFonts w:hint="eastAsia" w:ascii="Times New Roman" w:hAnsi="Times New Roman" w:eastAsia="仿宋" w:cs="仿宋"/>
          <w:b/>
          <w:bCs/>
          <w:smallCaps w:val="0"/>
          <w:snapToGrid/>
          <w:color w:val="auto"/>
          <w:kern w:val="1"/>
          <w:sz w:val="32"/>
          <w:szCs w:val="32"/>
          <w:lang w:val="en-US" w:eastAsia="zh-CN" w:bidi="ar-SA"/>
        </w:rPr>
        <w:t>砖瓦用粘土：</w:t>
      </w:r>
      <w:r>
        <w:rPr>
          <w:rFonts w:hint="eastAsia" w:ascii="Times New Roman" w:hAnsi="Times New Roman" w:eastAsia="仿宋" w:cs="仿宋"/>
          <w:smallCaps w:val="0"/>
          <w:snapToGrid/>
          <w:color w:val="auto"/>
          <w:kern w:val="1"/>
          <w:sz w:val="32"/>
          <w:szCs w:val="32"/>
          <w:lang w:val="en-US" w:eastAsia="zh-CN" w:bidi="ar-SA"/>
        </w:rPr>
        <w:t>主要分布在灵武市，用于当地小型砖瓦厂生产，供应局部区域需求。</w:t>
      </w:r>
    </w:p>
    <w:p w14:paraId="57299B97">
      <w:pPr>
        <w:pStyle w:val="14"/>
        <w:keepNext w:val="0"/>
        <w:keepLines w:val="0"/>
        <w:pageBreakBefore w:val="0"/>
        <w:widowControl w:val="0"/>
        <w:kinsoku/>
        <w:wordWrap/>
        <w:overflowPunct w:val="0"/>
        <w:topLinePunct w:val="0"/>
        <w:autoSpaceDE w:val="0"/>
        <w:autoSpaceDN w:val="0"/>
        <w:bidi w:val="0"/>
        <w:adjustRightInd w:val="0"/>
        <w:snapToGrid w:val="0"/>
        <w:spacing w:beforeLines="0" w:line="600" w:lineRule="exact"/>
        <w:ind w:left="0" w:right="0" w:firstLine="643" w:firstLineChars="200"/>
        <w:jc w:val="both"/>
        <w:textAlignment w:val="baseline"/>
        <w:rPr>
          <w:rFonts w:hint="eastAsia" w:ascii="Times New Roman" w:hAnsi="Times New Roman" w:eastAsia="仿宋" w:cs="仿宋"/>
          <w:smallCaps w:val="0"/>
          <w:snapToGrid/>
          <w:color w:val="auto"/>
          <w:kern w:val="1"/>
          <w:sz w:val="32"/>
          <w:szCs w:val="32"/>
          <w:lang w:val="en-US" w:eastAsia="zh-CN" w:bidi="ar-SA"/>
        </w:rPr>
      </w:pPr>
      <w:r>
        <w:rPr>
          <w:rFonts w:hint="eastAsia" w:ascii="Times New Roman" w:hAnsi="Times New Roman" w:eastAsia="仿宋" w:cs="仿宋"/>
          <w:b/>
          <w:bCs/>
          <w:smallCaps w:val="0"/>
          <w:snapToGrid/>
          <w:color w:val="auto"/>
          <w:kern w:val="1"/>
          <w:sz w:val="32"/>
          <w:szCs w:val="32"/>
          <w:lang w:val="en-US" w:eastAsia="zh-CN" w:bidi="ar-SA"/>
        </w:rPr>
        <w:t>砚石：</w:t>
      </w:r>
      <w:r>
        <w:rPr>
          <w:rFonts w:hint="eastAsia" w:ascii="Times New Roman" w:hAnsi="Times New Roman" w:eastAsia="仿宋" w:cs="仿宋"/>
          <w:b w:val="0"/>
          <w:bCs w:val="0"/>
          <w:smallCaps w:val="0"/>
          <w:snapToGrid/>
          <w:color w:val="auto"/>
          <w:kern w:val="1"/>
          <w:sz w:val="32"/>
          <w:szCs w:val="32"/>
          <w:lang w:val="en-US" w:eastAsia="zh-CN" w:bidi="ar-SA"/>
        </w:rPr>
        <w:t>主要分布在贺兰山自然保护区内，目</w:t>
      </w:r>
      <w:r>
        <w:rPr>
          <w:rFonts w:hint="eastAsia" w:ascii="Times New Roman" w:hAnsi="Times New Roman" w:eastAsia="仿宋" w:cs="仿宋"/>
          <w:smallCaps w:val="0"/>
          <w:snapToGrid/>
          <w:color w:val="auto"/>
          <w:kern w:val="1"/>
          <w:sz w:val="32"/>
          <w:szCs w:val="32"/>
          <w:lang w:val="en-US" w:eastAsia="zh-CN" w:bidi="ar-SA"/>
        </w:rPr>
        <w:t>前未开发利用。</w:t>
      </w:r>
    </w:p>
    <w:p w14:paraId="5F530DC4">
      <w:pPr>
        <w:pStyle w:val="14"/>
        <w:keepNext w:val="0"/>
        <w:keepLines w:val="0"/>
        <w:pageBreakBefore w:val="0"/>
        <w:widowControl w:val="0"/>
        <w:kinsoku/>
        <w:wordWrap/>
        <w:overflowPunct w:val="0"/>
        <w:topLinePunct w:val="0"/>
        <w:autoSpaceDE w:val="0"/>
        <w:autoSpaceDN w:val="0"/>
        <w:bidi w:val="0"/>
        <w:adjustRightInd w:val="0"/>
        <w:snapToGrid w:val="0"/>
        <w:spacing w:beforeLines="0" w:line="600" w:lineRule="exact"/>
        <w:ind w:left="0" w:right="0" w:firstLine="643" w:firstLineChars="200"/>
        <w:jc w:val="both"/>
        <w:textAlignment w:val="baseline"/>
        <w:rPr>
          <w:rFonts w:hint="eastAsia" w:ascii="Times New Roman" w:hAnsi="Times New Roman" w:eastAsia="仿宋" w:cs="仿宋"/>
          <w:smallCaps w:val="0"/>
          <w:snapToGrid/>
          <w:color w:val="auto"/>
          <w:kern w:val="1"/>
          <w:sz w:val="32"/>
          <w:szCs w:val="32"/>
          <w:lang w:val="en-US" w:eastAsia="zh-CN" w:bidi="ar-SA"/>
        </w:rPr>
      </w:pPr>
      <w:r>
        <w:rPr>
          <w:rFonts w:hint="eastAsia" w:ascii="Times New Roman" w:hAnsi="Times New Roman" w:eastAsia="仿宋" w:cs="仿宋"/>
          <w:b/>
          <w:bCs/>
          <w:smallCaps w:val="0"/>
          <w:snapToGrid/>
          <w:color w:val="auto"/>
          <w:kern w:val="1"/>
          <w:sz w:val="32"/>
          <w:szCs w:val="32"/>
          <w:lang w:val="en-US" w:eastAsia="zh-CN" w:bidi="ar-SA"/>
        </w:rPr>
        <w:t>磷矿：</w:t>
      </w:r>
      <w:r>
        <w:rPr>
          <w:rFonts w:hint="eastAsia" w:ascii="Times New Roman" w:hAnsi="Times New Roman" w:eastAsia="仿宋" w:cs="仿宋"/>
          <w:b w:val="0"/>
          <w:bCs w:val="0"/>
          <w:smallCaps w:val="0"/>
          <w:snapToGrid/>
          <w:color w:val="auto"/>
          <w:kern w:val="1"/>
          <w:sz w:val="32"/>
          <w:szCs w:val="32"/>
          <w:lang w:val="en-US" w:eastAsia="zh-CN" w:bidi="ar-SA"/>
        </w:rPr>
        <w:t>主要分布在</w:t>
      </w:r>
      <w:r>
        <w:rPr>
          <w:rFonts w:hint="eastAsia" w:ascii="Times New Roman" w:hAnsi="Times New Roman" w:eastAsia="仿宋" w:cs="仿宋"/>
          <w:smallCaps w:val="0"/>
          <w:snapToGrid/>
          <w:color w:val="auto"/>
          <w:kern w:val="1"/>
          <w:sz w:val="32"/>
          <w:szCs w:val="32"/>
          <w:lang w:val="en-US" w:eastAsia="zh-CN" w:bidi="ar-SA"/>
        </w:rPr>
        <w:t>西夏区紫花沟、贺兰县苏峪口一带，矿区大部分位于贺兰山自然保护区，现有矿业权已全部清理退出。</w:t>
      </w:r>
    </w:p>
    <w:p w14:paraId="325FEFB1">
      <w:pPr>
        <w:pStyle w:val="14"/>
        <w:keepNext w:val="0"/>
        <w:keepLines w:val="0"/>
        <w:pageBreakBefore w:val="0"/>
        <w:widowControl w:val="0"/>
        <w:kinsoku/>
        <w:wordWrap/>
        <w:overflowPunct w:val="0"/>
        <w:topLinePunct w:val="0"/>
        <w:autoSpaceDE w:val="0"/>
        <w:autoSpaceDN w:val="0"/>
        <w:bidi w:val="0"/>
        <w:adjustRightInd w:val="0"/>
        <w:snapToGrid w:val="0"/>
        <w:spacing w:beforeLines="0" w:line="600" w:lineRule="exact"/>
        <w:ind w:left="0" w:right="0" w:firstLine="643" w:firstLineChars="200"/>
        <w:jc w:val="both"/>
        <w:textAlignment w:val="baseline"/>
        <w:rPr>
          <w:rFonts w:hint="default" w:ascii="Times New Roman" w:hAnsi="Times New Roman" w:eastAsia="仿宋" w:cs="仿宋"/>
          <w:b/>
          <w:bCs/>
          <w:smallCaps w:val="0"/>
          <w:snapToGrid/>
          <w:color w:val="auto"/>
          <w:kern w:val="1"/>
          <w:sz w:val="32"/>
          <w:szCs w:val="32"/>
          <w:lang w:val="en-US" w:eastAsia="zh-CN" w:bidi="ar-SA"/>
        </w:rPr>
      </w:pPr>
      <w:r>
        <w:rPr>
          <w:rFonts w:hint="eastAsia" w:ascii="Times New Roman" w:hAnsi="Times New Roman" w:eastAsia="仿宋" w:cs="仿宋"/>
          <w:b/>
          <w:bCs/>
          <w:smallCaps w:val="0"/>
          <w:snapToGrid/>
          <w:color w:val="auto"/>
          <w:kern w:val="1"/>
          <w:sz w:val="32"/>
          <w:szCs w:val="32"/>
          <w:lang w:val="en-US" w:eastAsia="zh-CN" w:bidi="ar-SA"/>
        </w:rPr>
        <w:t>建筑用辉绿岩：</w:t>
      </w:r>
      <w:r>
        <w:rPr>
          <w:rFonts w:hint="eastAsia" w:ascii="Times New Roman" w:hAnsi="Times New Roman" w:eastAsia="仿宋" w:cs="仿宋"/>
          <w:smallCaps w:val="0"/>
          <w:snapToGrid/>
          <w:color w:val="auto"/>
          <w:kern w:val="1"/>
          <w:sz w:val="32"/>
          <w:szCs w:val="32"/>
          <w:lang w:val="en-US" w:eastAsia="zh-CN" w:bidi="ar-SA"/>
        </w:rPr>
        <w:t>分布在西夏区黄旗口。</w:t>
      </w:r>
    </w:p>
    <w:p w14:paraId="68B933F4">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（三）矿产资源勘查开发利用与保护现状</w:t>
      </w:r>
    </w:p>
    <w:p w14:paraId="7ADC347A">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b/>
          <w:bCs/>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val="en-US" w:eastAsia="zh-CN"/>
        </w:rPr>
        <w:t>1.</w:t>
      </w:r>
      <w:r>
        <w:rPr>
          <w:rFonts w:hint="eastAsia" w:ascii="Times New Roman" w:hAnsi="Times New Roman" w:eastAsia="仿宋" w:cs="仿宋"/>
          <w:b/>
          <w:bCs/>
          <w:smallCaps w:val="0"/>
          <w:snapToGrid/>
          <w:color w:val="auto"/>
          <w:kern w:val="1"/>
          <w:sz w:val="32"/>
          <w:szCs w:val="32"/>
          <w:lang w:eastAsia="zh-CN"/>
        </w:rPr>
        <w:t>矿产资源保护</w:t>
      </w:r>
    </w:p>
    <w:p w14:paraId="1380DC3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严格落实生态保护红线管控要求，红线内全面禁止矿产资源勘查开发活动。</w:t>
      </w:r>
      <w:r>
        <w:rPr>
          <w:rFonts w:hint="eastAsia" w:ascii="Times New Roman" w:hAnsi="Times New Roman" w:eastAsia="仿宋" w:cs="仿宋"/>
          <w:smallCaps w:val="0"/>
          <w:snapToGrid/>
          <w:color w:val="auto"/>
          <w:kern w:val="1"/>
          <w:sz w:val="32"/>
          <w:szCs w:val="32"/>
          <w:lang w:val="en-US" w:eastAsia="zh-CN"/>
        </w:rPr>
        <w:t>自</w:t>
      </w:r>
      <w:r>
        <w:rPr>
          <w:rFonts w:hint="eastAsia" w:ascii="Times New Roman" w:hAnsi="Times New Roman" w:eastAsia="仿宋" w:cs="仿宋"/>
          <w:smallCaps w:val="0"/>
          <w:snapToGrid/>
          <w:color w:val="auto"/>
          <w:kern w:val="1"/>
          <w:sz w:val="32"/>
          <w:szCs w:val="32"/>
          <w:lang w:eastAsia="zh-CN"/>
        </w:rPr>
        <w:t>“绿盾2017”</w:t>
      </w:r>
      <w:r>
        <w:rPr>
          <w:rFonts w:hint="eastAsia" w:ascii="Times New Roman" w:hAnsi="Times New Roman" w:eastAsia="仿宋" w:cs="仿宋"/>
          <w:smallCaps w:val="0"/>
          <w:snapToGrid/>
          <w:color w:val="auto"/>
          <w:kern w:val="1"/>
          <w:sz w:val="32"/>
          <w:szCs w:val="32"/>
          <w:lang w:val="en-US" w:eastAsia="zh-CN"/>
        </w:rPr>
        <w:t>国家级</w:t>
      </w:r>
      <w:r>
        <w:rPr>
          <w:rFonts w:hint="eastAsia" w:ascii="Times New Roman" w:hAnsi="Times New Roman" w:eastAsia="仿宋" w:cs="仿宋"/>
          <w:smallCaps w:val="0"/>
          <w:snapToGrid/>
          <w:color w:val="auto"/>
          <w:kern w:val="1"/>
          <w:sz w:val="32"/>
          <w:szCs w:val="32"/>
          <w:lang w:eastAsia="zh-CN"/>
        </w:rPr>
        <w:t>自然保护区</w:t>
      </w:r>
      <w:r>
        <w:rPr>
          <w:rFonts w:hint="eastAsia" w:ascii="Times New Roman" w:hAnsi="Times New Roman" w:eastAsia="仿宋" w:cs="仿宋"/>
          <w:smallCaps w:val="0"/>
          <w:snapToGrid/>
          <w:color w:val="auto"/>
          <w:kern w:val="1"/>
          <w:sz w:val="32"/>
          <w:szCs w:val="32"/>
          <w:lang w:val="en-US" w:eastAsia="zh-CN"/>
        </w:rPr>
        <w:t>监督检查</w:t>
      </w:r>
      <w:r>
        <w:rPr>
          <w:rFonts w:hint="eastAsia" w:ascii="Times New Roman" w:hAnsi="Times New Roman" w:eastAsia="仿宋" w:cs="仿宋"/>
          <w:smallCaps w:val="0"/>
          <w:snapToGrid/>
          <w:color w:val="auto"/>
          <w:kern w:val="1"/>
          <w:sz w:val="32"/>
          <w:szCs w:val="32"/>
          <w:lang w:eastAsia="zh-CN"/>
        </w:rPr>
        <w:t>专项行动及《贺兰山生态保护修复专项规划》实施以来，全面</w:t>
      </w:r>
      <w:r>
        <w:rPr>
          <w:rFonts w:hint="eastAsia" w:ascii="Times New Roman" w:hAnsi="Times New Roman" w:eastAsia="仿宋" w:cs="仿宋"/>
          <w:smallCaps w:val="0"/>
          <w:snapToGrid/>
          <w:color w:val="auto"/>
          <w:kern w:val="1"/>
          <w:sz w:val="32"/>
          <w:szCs w:val="32"/>
          <w:lang w:val="en-US" w:eastAsia="zh-CN"/>
        </w:rPr>
        <w:t>完成</w:t>
      </w:r>
      <w:r>
        <w:rPr>
          <w:rFonts w:hint="eastAsia" w:ascii="Times New Roman" w:hAnsi="Times New Roman" w:eastAsia="仿宋" w:cs="仿宋"/>
          <w:smallCaps w:val="0"/>
          <w:snapToGrid/>
          <w:color w:val="auto"/>
          <w:kern w:val="1"/>
          <w:sz w:val="32"/>
          <w:szCs w:val="32"/>
          <w:lang w:eastAsia="zh-CN"/>
        </w:rPr>
        <w:t>了生态红线内矿业权清理工作，区域生态安全得到有效保障。</w:t>
      </w:r>
    </w:p>
    <w:p w14:paraId="61DC9E9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持续强化矿产资源执法监管，依法严厉打击超层越界、无证非法开采等违法行为，深入推进矿产资源领域扫黑除恶专项整治，矿产开发秩序持续规范，资源保护水平显著提升。</w:t>
      </w:r>
    </w:p>
    <w:p w14:paraId="2BCA526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统筹推进绿色矿山建设，全市矿产开发秩序更加规范有序，资源集约节约利用水平持续提高，矿区土地复垦与生态修复成效逐步显现，矿山生态环境有效保护，矿地和谐发展格局加快构建。</w:t>
      </w:r>
    </w:p>
    <w:p w14:paraId="1641A125">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5" w:name="_Toc7187"/>
      <w:r>
        <w:rPr>
          <w:rFonts w:hint="eastAsia" w:ascii="黑体" w:hAnsi="黑体" w:eastAsia="黑体" w:cs="黑体"/>
          <w:b w:val="0"/>
          <w:bCs w:val="0"/>
          <w:smallCaps w:val="0"/>
          <w:color w:val="auto"/>
          <w:sz w:val="32"/>
          <w:szCs w:val="32"/>
          <w:lang w:val="en-US" w:eastAsia="zh-CN"/>
        </w:rPr>
        <w:t>二、上轮规划实施成效和存在问题</w:t>
      </w:r>
      <w:bookmarkEnd w:id="5"/>
    </w:p>
    <w:p w14:paraId="32F1B542">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（一）实施成效</w:t>
      </w:r>
    </w:p>
    <w:p w14:paraId="28A65D0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lang w:eastAsia="zh-CN"/>
        </w:rPr>
      </w:pPr>
      <w:r>
        <w:rPr>
          <w:rFonts w:hint="eastAsia" w:ascii="Times New Roman" w:hAnsi="Times New Roman" w:eastAsia="仿宋" w:cs="仿宋"/>
          <w:smallCaps w:val="0"/>
          <w:snapToGrid/>
          <w:color w:val="auto"/>
          <w:kern w:val="1"/>
          <w:sz w:val="32"/>
          <w:szCs w:val="32"/>
          <w:lang w:eastAsia="zh-CN"/>
        </w:rPr>
        <w:t>《银川市矿产资源总体规划（20</w:t>
      </w:r>
      <w:r>
        <w:rPr>
          <w:rFonts w:hint="eastAsia" w:ascii="Times New Roman" w:hAnsi="Times New Roman" w:eastAsia="仿宋" w:cs="仿宋"/>
          <w:smallCaps w:val="0"/>
          <w:snapToGrid/>
          <w:color w:val="auto"/>
          <w:kern w:val="1"/>
          <w:sz w:val="32"/>
          <w:szCs w:val="32"/>
          <w:lang w:val="en-US" w:eastAsia="zh-CN"/>
        </w:rPr>
        <w:t>21—</w:t>
      </w:r>
      <w:r>
        <w:rPr>
          <w:rFonts w:hint="eastAsia" w:ascii="Times New Roman" w:hAnsi="Times New Roman" w:eastAsia="仿宋" w:cs="仿宋"/>
          <w:smallCaps w:val="0"/>
          <w:snapToGrid/>
          <w:color w:val="auto"/>
          <w:kern w:val="1"/>
          <w:sz w:val="32"/>
          <w:szCs w:val="32"/>
          <w:lang w:eastAsia="zh-CN"/>
        </w:rPr>
        <w:t>202</w:t>
      </w:r>
      <w:r>
        <w:rPr>
          <w:rFonts w:hint="eastAsia" w:ascii="Times New Roman" w:hAnsi="Times New Roman" w:eastAsia="仿宋" w:cs="仿宋"/>
          <w:smallCaps w:val="0"/>
          <w:snapToGrid/>
          <w:color w:val="auto"/>
          <w:kern w:val="1"/>
          <w:sz w:val="32"/>
          <w:szCs w:val="32"/>
          <w:lang w:val="en-US" w:eastAsia="zh-CN"/>
        </w:rPr>
        <w:t>5</w:t>
      </w:r>
      <w:r>
        <w:rPr>
          <w:rFonts w:hint="eastAsia" w:ascii="Times New Roman" w:hAnsi="Times New Roman" w:eastAsia="仿宋" w:cs="仿宋"/>
          <w:smallCaps w:val="0"/>
          <w:snapToGrid/>
          <w:color w:val="auto"/>
          <w:kern w:val="1"/>
          <w:sz w:val="32"/>
          <w:szCs w:val="32"/>
          <w:lang w:eastAsia="zh-CN"/>
        </w:rPr>
        <w:t>年）》自发布实施以来，</w:t>
      </w:r>
      <w:r>
        <w:rPr>
          <w:rFonts w:hint="eastAsia" w:ascii="Times New Roman" w:hAnsi="Times New Roman" w:eastAsia="仿宋" w:cs="仿宋"/>
          <w:smallCaps w:val="0"/>
          <w:snapToGrid/>
          <w:color w:val="auto"/>
          <w:kern w:val="1"/>
          <w:sz w:val="32"/>
          <w:szCs w:val="32"/>
          <w:lang w:val="en-US" w:eastAsia="zh-CN"/>
        </w:rPr>
        <w:t>全市</w:t>
      </w:r>
      <w:r>
        <w:rPr>
          <w:rFonts w:hint="eastAsia" w:ascii="Times New Roman" w:hAnsi="Times New Roman" w:eastAsia="仿宋" w:cs="仿宋"/>
          <w:smallCaps w:val="0"/>
          <w:snapToGrid/>
          <w:color w:val="auto"/>
          <w:kern w:val="1"/>
          <w:sz w:val="32"/>
          <w:szCs w:val="32"/>
          <w:lang w:eastAsia="zh-CN"/>
        </w:rPr>
        <w:t>矿产资源调查评价与勘查成绩显著，开发利用结构布局明显优化，矿山</w:t>
      </w:r>
      <w:r>
        <w:rPr>
          <w:rFonts w:hint="eastAsia" w:ascii="Times New Roman" w:hAnsi="Times New Roman" w:eastAsia="仿宋" w:cs="仿宋"/>
          <w:smallCaps w:val="0"/>
          <w:snapToGrid/>
          <w:color w:val="auto"/>
          <w:kern w:val="1"/>
          <w:sz w:val="32"/>
          <w:szCs w:val="32"/>
          <w:lang w:val="en-US" w:eastAsia="zh-CN"/>
        </w:rPr>
        <w:t>生态保护修复</w:t>
      </w:r>
      <w:r>
        <w:rPr>
          <w:rFonts w:hint="eastAsia" w:ascii="Times New Roman" w:hAnsi="Times New Roman" w:eastAsia="仿宋" w:cs="仿宋"/>
          <w:smallCaps w:val="0"/>
          <w:snapToGrid/>
          <w:color w:val="auto"/>
          <w:kern w:val="1"/>
          <w:sz w:val="32"/>
          <w:szCs w:val="32"/>
          <w:lang w:eastAsia="zh-CN"/>
        </w:rPr>
        <w:t>成效</w:t>
      </w:r>
      <w:r>
        <w:rPr>
          <w:rFonts w:hint="eastAsia" w:ascii="Times New Roman" w:hAnsi="Times New Roman" w:eastAsia="仿宋" w:cs="仿宋"/>
          <w:smallCaps w:val="0"/>
          <w:snapToGrid/>
          <w:color w:val="auto"/>
          <w:kern w:val="1"/>
          <w:sz w:val="32"/>
          <w:szCs w:val="32"/>
          <w:lang w:val="en-US" w:eastAsia="zh-CN"/>
        </w:rPr>
        <w:t>显著</w:t>
      </w:r>
      <w:r>
        <w:rPr>
          <w:rFonts w:hint="eastAsia" w:ascii="Times New Roman" w:hAnsi="Times New Roman" w:eastAsia="仿宋" w:cs="仿宋"/>
          <w:smallCaps w:val="0"/>
          <w:snapToGrid/>
          <w:color w:val="auto"/>
          <w:kern w:val="1"/>
          <w:sz w:val="32"/>
          <w:szCs w:val="32"/>
          <w:lang w:eastAsia="zh-CN"/>
        </w:rPr>
        <w:t>，为</w:t>
      </w:r>
      <w:r>
        <w:rPr>
          <w:rFonts w:hint="eastAsia" w:ascii="Times New Roman" w:hAnsi="Times New Roman" w:eastAsia="仿宋" w:cs="仿宋"/>
          <w:smallCaps w:val="0"/>
          <w:snapToGrid/>
          <w:color w:val="auto"/>
          <w:kern w:val="1"/>
          <w:sz w:val="32"/>
          <w:szCs w:val="32"/>
          <w:lang w:val="en-US" w:eastAsia="zh-CN"/>
        </w:rPr>
        <w:t>全</w:t>
      </w:r>
      <w:r>
        <w:rPr>
          <w:rFonts w:hint="eastAsia" w:ascii="Times New Roman" w:hAnsi="Times New Roman" w:eastAsia="仿宋" w:cs="仿宋"/>
          <w:smallCaps w:val="0"/>
          <w:snapToGrid/>
          <w:color w:val="auto"/>
          <w:kern w:val="1"/>
          <w:sz w:val="32"/>
          <w:szCs w:val="32"/>
          <w:lang w:eastAsia="zh-CN"/>
        </w:rPr>
        <w:t>市经济社会可持续发展做出了贡献。</w:t>
      </w:r>
    </w:p>
    <w:p w14:paraId="28748425">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基础性、公益性地质工作扎实推进。</w:t>
      </w:r>
      <w:r>
        <w:rPr>
          <w:rFonts w:hint="eastAsia" w:ascii="Times New Roman" w:hAnsi="Times New Roman" w:eastAsia="仿宋" w:cs="仿宋"/>
          <w:smallCaps w:val="0"/>
          <w:snapToGrid/>
          <w:color w:val="auto"/>
          <w:kern w:val="1"/>
          <w:sz w:val="32"/>
          <w:szCs w:val="32"/>
          <w:lang w:eastAsia="zh-CN"/>
        </w:rPr>
        <w:t>开展了1:5万综合地质调查、宁夏沿黄经济区水文地质环境地质调查、沿黄生态经济带地下水资源开发利用与生态效应调查评价、银川盆地地热资源预可行性勘查等工作，基础地质工作由传统区域地质、矿产勘查，逐步向水工环地质、城市地质、生态地质等领域延伸拓展。</w:t>
      </w:r>
    </w:p>
    <w:p w14:paraId="057D7C82">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资源开发利用结构</w:t>
      </w:r>
      <w:r>
        <w:rPr>
          <w:rFonts w:hint="eastAsia" w:ascii="Times New Roman" w:hAnsi="Times New Roman" w:eastAsia="仿宋" w:cs="仿宋"/>
          <w:b/>
          <w:bCs/>
          <w:smallCaps w:val="0"/>
          <w:snapToGrid/>
          <w:color w:val="auto"/>
          <w:kern w:val="1"/>
          <w:sz w:val="32"/>
          <w:szCs w:val="32"/>
          <w:lang w:val="en-US" w:eastAsia="zh-CN"/>
        </w:rPr>
        <w:t>持续优化</w:t>
      </w:r>
      <w:r>
        <w:rPr>
          <w:rFonts w:hint="eastAsia" w:ascii="Times New Roman" w:hAnsi="Times New Roman" w:eastAsia="仿宋" w:cs="仿宋"/>
          <w:b/>
          <w:bCs/>
          <w:smallCaps w:val="0"/>
          <w:snapToGrid/>
          <w:color w:val="auto"/>
          <w:kern w:val="1"/>
          <w:sz w:val="32"/>
          <w:szCs w:val="32"/>
          <w:lang w:eastAsia="zh-CN"/>
        </w:rPr>
        <w:t>。</w:t>
      </w:r>
      <w:r>
        <w:rPr>
          <w:rFonts w:hint="eastAsia" w:ascii="Times New Roman" w:hAnsi="Times New Roman" w:eastAsia="仿宋" w:cs="仿宋"/>
          <w:smallCaps w:val="0"/>
          <w:snapToGrid/>
          <w:color w:val="auto"/>
          <w:kern w:val="1"/>
          <w:sz w:val="32"/>
          <w:szCs w:val="32"/>
          <w:lang w:eastAsia="zh-CN"/>
        </w:rPr>
        <w:t>“十</w:t>
      </w:r>
      <w:r>
        <w:rPr>
          <w:rFonts w:hint="eastAsia" w:ascii="Times New Roman" w:hAnsi="Times New Roman" w:eastAsia="仿宋" w:cs="仿宋"/>
          <w:smallCaps w:val="0"/>
          <w:snapToGrid/>
          <w:color w:val="auto"/>
          <w:kern w:val="1"/>
          <w:sz w:val="32"/>
          <w:szCs w:val="32"/>
          <w:lang w:val="en-US" w:eastAsia="zh-CN"/>
        </w:rPr>
        <w:t>四</w:t>
      </w:r>
      <w:r>
        <w:rPr>
          <w:rFonts w:hint="eastAsia" w:ascii="Times New Roman" w:hAnsi="Times New Roman" w:eastAsia="仿宋" w:cs="仿宋"/>
          <w:smallCaps w:val="0"/>
          <w:snapToGrid/>
          <w:color w:val="auto"/>
          <w:kern w:val="1"/>
          <w:sz w:val="32"/>
          <w:szCs w:val="32"/>
          <w:lang w:eastAsia="zh-CN"/>
        </w:rPr>
        <w:t>五”期间，全市矿山数量逐年</w:t>
      </w:r>
      <w:r>
        <w:rPr>
          <w:rFonts w:hint="eastAsia" w:ascii="Times New Roman" w:hAnsi="Times New Roman" w:eastAsia="仿宋" w:cs="仿宋"/>
          <w:smallCaps w:val="0"/>
          <w:snapToGrid/>
          <w:color w:val="auto"/>
          <w:kern w:val="1"/>
          <w:sz w:val="32"/>
          <w:szCs w:val="32"/>
          <w:lang w:val="en-US" w:eastAsia="zh-CN"/>
        </w:rPr>
        <w:t>压减整合</w:t>
      </w:r>
      <w:r>
        <w:rPr>
          <w:rFonts w:hint="eastAsia" w:ascii="Times New Roman" w:hAnsi="Times New Roman" w:eastAsia="仿宋" w:cs="仿宋"/>
          <w:smallCaps w:val="0"/>
          <w:snapToGrid/>
          <w:color w:val="auto"/>
          <w:kern w:val="1"/>
          <w:sz w:val="32"/>
          <w:szCs w:val="32"/>
          <w:lang w:eastAsia="zh-CN"/>
        </w:rPr>
        <w:t>，全市矿山企业数量</w:t>
      </w:r>
      <w:r>
        <w:rPr>
          <w:rFonts w:hint="eastAsia" w:ascii="Times New Roman" w:hAnsi="Times New Roman" w:eastAsia="仿宋" w:cs="仿宋"/>
          <w:smallCaps w:val="0"/>
          <w:snapToGrid/>
          <w:color w:val="auto"/>
          <w:kern w:val="1"/>
          <w:sz w:val="32"/>
          <w:szCs w:val="32"/>
          <w:lang w:val="en-US" w:eastAsia="zh-CN"/>
        </w:rPr>
        <w:t>由</w:t>
      </w:r>
      <w:r>
        <w:rPr>
          <w:rFonts w:hint="eastAsia" w:ascii="Times New Roman" w:hAnsi="Times New Roman" w:eastAsia="仿宋" w:cs="仿宋"/>
          <w:smallCaps w:val="0"/>
          <w:snapToGrid/>
          <w:color w:val="auto"/>
          <w:kern w:val="1"/>
          <w:sz w:val="32"/>
          <w:szCs w:val="32"/>
          <w:lang w:eastAsia="zh-CN"/>
        </w:rPr>
        <w:t>20</w:t>
      </w:r>
      <w:r>
        <w:rPr>
          <w:rFonts w:hint="eastAsia" w:ascii="Times New Roman" w:hAnsi="Times New Roman" w:eastAsia="仿宋" w:cs="仿宋"/>
          <w:smallCaps w:val="0"/>
          <w:snapToGrid/>
          <w:color w:val="auto"/>
          <w:kern w:val="1"/>
          <w:sz w:val="32"/>
          <w:szCs w:val="32"/>
          <w:lang w:val="en-US" w:eastAsia="zh-CN"/>
        </w:rPr>
        <w:t>20</w:t>
      </w:r>
      <w:r>
        <w:rPr>
          <w:rFonts w:hint="eastAsia" w:ascii="Times New Roman" w:hAnsi="Times New Roman" w:eastAsia="仿宋" w:cs="仿宋"/>
          <w:smallCaps w:val="0"/>
          <w:snapToGrid/>
          <w:color w:val="auto"/>
          <w:kern w:val="1"/>
          <w:sz w:val="32"/>
          <w:szCs w:val="32"/>
          <w:lang w:eastAsia="zh-CN"/>
        </w:rPr>
        <w:t>的66</w:t>
      </w:r>
      <w:r>
        <w:rPr>
          <w:rFonts w:hint="eastAsia" w:ascii="Times New Roman" w:hAnsi="Times New Roman" w:eastAsia="仿宋" w:cs="仿宋"/>
          <w:smallCaps w:val="0"/>
          <w:snapToGrid/>
          <w:color w:val="auto"/>
          <w:kern w:val="1"/>
          <w:sz w:val="32"/>
          <w:szCs w:val="32"/>
          <w:lang w:val="en-US" w:eastAsia="zh-CN"/>
        </w:rPr>
        <w:t>家</w:t>
      </w:r>
      <w:r>
        <w:rPr>
          <w:rFonts w:hint="eastAsia" w:ascii="Times New Roman" w:hAnsi="Times New Roman" w:eastAsia="仿宋" w:cs="仿宋"/>
          <w:smallCaps w:val="0"/>
          <w:snapToGrid/>
          <w:color w:val="auto"/>
          <w:kern w:val="1"/>
          <w:sz w:val="32"/>
          <w:szCs w:val="32"/>
          <w:lang w:eastAsia="zh-CN"/>
        </w:rPr>
        <w:t>减少</w:t>
      </w:r>
      <w:r>
        <w:rPr>
          <w:rFonts w:hint="eastAsia" w:ascii="Times New Roman" w:hAnsi="Times New Roman" w:eastAsia="仿宋" w:cs="仿宋"/>
          <w:smallCaps w:val="0"/>
          <w:snapToGrid/>
          <w:color w:val="auto"/>
          <w:kern w:val="1"/>
          <w:sz w:val="32"/>
          <w:szCs w:val="32"/>
          <w:lang w:val="en-US" w:eastAsia="zh-CN"/>
        </w:rPr>
        <w:t>至2025年的</w:t>
      </w:r>
      <w:r>
        <w:rPr>
          <w:rFonts w:hint="eastAsia" w:ascii="Times New Roman" w:hAnsi="Times New Roman" w:eastAsia="仿宋" w:cs="仿宋"/>
          <w:smallCaps w:val="0"/>
          <w:snapToGrid/>
          <w:color w:val="auto"/>
          <w:kern w:val="1"/>
          <w:sz w:val="32"/>
          <w:szCs w:val="32"/>
          <w:lang w:eastAsia="zh-CN"/>
        </w:rPr>
        <w:t>3</w:t>
      </w:r>
      <w:r>
        <w:rPr>
          <w:rFonts w:hint="eastAsia" w:ascii="Times New Roman" w:hAnsi="Times New Roman" w:eastAsia="仿宋" w:cs="仿宋"/>
          <w:smallCaps w:val="0"/>
          <w:snapToGrid/>
          <w:color w:val="auto"/>
          <w:kern w:val="1"/>
          <w:sz w:val="32"/>
          <w:szCs w:val="32"/>
          <w:lang w:val="en-US" w:eastAsia="zh-CN"/>
        </w:rPr>
        <w:t>0家</w:t>
      </w:r>
      <w:r>
        <w:rPr>
          <w:rFonts w:hint="eastAsia" w:ascii="Times New Roman" w:hAnsi="Times New Roman" w:eastAsia="仿宋" w:cs="仿宋"/>
          <w:smallCaps w:val="0"/>
          <w:snapToGrid/>
          <w:color w:val="auto"/>
          <w:kern w:val="1"/>
          <w:sz w:val="32"/>
          <w:szCs w:val="32"/>
          <w:lang w:eastAsia="zh-CN"/>
        </w:rPr>
        <w:t>；大中型矿山数量由23</w:t>
      </w:r>
      <w:r>
        <w:rPr>
          <w:rFonts w:hint="eastAsia" w:ascii="Times New Roman" w:hAnsi="Times New Roman" w:eastAsia="仿宋" w:cs="仿宋"/>
          <w:smallCaps w:val="0"/>
          <w:snapToGrid/>
          <w:color w:val="auto"/>
          <w:kern w:val="1"/>
          <w:sz w:val="32"/>
          <w:szCs w:val="32"/>
          <w:lang w:val="en-US" w:eastAsia="zh-CN"/>
        </w:rPr>
        <w:t>家</w:t>
      </w:r>
      <w:r>
        <w:rPr>
          <w:rFonts w:hint="eastAsia" w:ascii="Times New Roman" w:hAnsi="Times New Roman" w:eastAsia="仿宋" w:cs="仿宋"/>
          <w:smallCaps w:val="0"/>
          <w:snapToGrid/>
          <w:color w:val="auto"/>
          <w:kern w:val="1"/>
          <w:sz w:val="32"/>
          <w:szCs w:val="32"/>
          <w:lang w:eastAsia="zh-CN"/>
        </w:rPr>
        <w:t>增加</w:t>
      </w:r>
      <w:r>
        <w:rPr>
          <w:rFonts w:hint="eastAsia" w:ascii="Times New Roman" w:hAnsi="Times New Roman" w:eastAsia="仿宋" w:cs="仿宋"/>
          <w:smallCaps w:val="0"/>
          <w:snapToGrid/>
          <w:color w:val="auto"/>
          <w:kern w:val="1"/>
          <w:sz w:val="32"/>
          <w:szCs w:val="32"/>
          <w:lang w:val="en-US" w:eastAsia="zh-CN"/>
        </w:rPr>
        <w:t>至30家</w:t>
      </w:r>
      <w:r>
        <w:rPr>
          <w:rFonts w:hint="eastAsia" w:ascii="Times New Roman" w:hAnsi="Times New Roman" w:eastAsia="仿宋" w:cs="仿宋"/>
          <w:smallCaps w:val="0"/>
          <w:snapToGrid/>
          <w:color w:val="auto"/>
          <w:kern w:val="1"/>
          <w:sz w:val="32"/>
          <w:szCs w:val="32"/>
          <w:lang w:eastAsia="zh-CN"/>
        </w:rPr>
        <w:t>，大中型矿山所占比例由34.84提高到</w:t>
      </w:r>
      <w:r>
        <w:rPr>
          <w:rFonts w:hint="eastAsia" w:ascii="Times New Roman" w:hAnsi="Times New Roman" w:eastAsia="仿宋" w:cs="仿宋"/>
          <w:smallCaps w:val="0"/>
          <w:snapToGrid/>
          <w:color w:val="auto"/>
          <w:kern w:val="1"/>
          <w:sz w:val="32"/>
          <w:szCs w:val="32"/>
          <w:lang w:val="en-US" w:eastAsia="zh-CN"/>
        </w:rPr>
        <w:t>100</w:t>
      </w:r>
      <w:r>
        <w:rPr>
          <w:rFonts w:hint="eastAsia" w:ascii="Times New Roman" w:hAnsi="Times New Roman" w:eastAsia="仿宋" w:cs="仿宋"/>
          <w:smallCaps w:val="0"/>
          <w:snapToGrid/>
          <w:color w:val="auto"/>
          <w:kern w:val="1"/>
          <w:sz w:val="32"/>
          <w:szCs w:val="32"/>
          <w:lang w:eastAsia="zh-CN"/>
        </w:rPr>
        <w:t>%，矿山企业“</w:t>
      </w:r>
      <w:r>
        <w:rPr>
          <w:rFonts w:hint="eastAsia" w:ascii="Times New Roman" w:hAnsi="Times New Roman" w:eastAsia="仿宋" w:cs="仿宋"/>
          <w:smallCaps w:val="0"/>
          <w:snapToGrid/>
          <w:color w:val="auto"/>
          <w:kern w:val="1"/>
          <w:sz w:val="32"/>
          <w:szCs w:val="32"/>
          <w:lang w:val="en-US" w:eastAsia="zh-CN"/>
        </w:rPr>
        <w:t>多、小、散、乱</w:t>
      </w:r>
      <w:r>
        <w:rPr>
          <w:rFonts w:hint="eastAsia" w:ascii="Times New Roman" w:hAnsi="Times New Roman" w:eastAsia="仿宋" w:cs="仿宋"/>
          <w:smallCaps w:val="0"/>
          <w:snapToGrid/>
          <w:color w:val="auto"/>
          <w:kern w:val="1"/>
          <w:sz w:val="32"/>
          <w:szCs w:val="32"/>
          <w:lang w:eastAsia="zh-CN"/>
        </w:rPr>
        <w:t>”的</w:t>
      </w:r>
      <w:r>
        <w:rPr>
          <w:rFonts w:hint="eastAsia" w:ascii="Times New Roman" w:hAnsi="Times New Roman" w:eastAsia="仿宋" w:cs="仿宋"/>
          <w:smallCaps w:val="0"/>
          <w:snapToGrid/>
          <w:color w:val="auto"/>
          <w:kern w:val="1"/>
          <w:sz w:val="32"/>
          <w:szCs w:val="32"/>
          <w:lang w:val="en-US" w:eastAsia="zh-CN"/>
        </w:rPr>
        <w:t>格局</w:t>
      </w:r>
      <w:r>
        <w:rPr>
          <w:rFonts w:hint="eastAsia" w:ascii="Times New Roman" w:hAnsi="Times New Roman" w:eastAsia="仿宋" w:cs="仿宋"/>
          <w:smallCaps w:val="0"/>
          <w:snapToGrid/>
          <w:color w:val="auto"/>
          <w:kern w:val="1"/>
          <w:sz w:val="32"/>
          <w:szCs w:val="32"/>
          <w:lang w:eastAsia="zh-CN"/>
        </w:rPr>
        <w:t>得到明显改善，矿山布局</w:t>
      </w:r>
      <w:r>
        <w:rPr>
          <w:rFonts w:hint="eastAsia" w:ascii="Times New Roman" w:hAnsi="Times New Roman" w:eastAsia="仿宋" w:cs="仿宋"/>
          <w:smallCaps w:val="0"/>
          <w:snapToGrid/>
          <w:color w:val="auto"/>
          <w:kern w:val="1"/>
          <w:sz w:val="32"/>
          <w:szCs w:val="32"/>
          <w:lang w:val="en-US" w:eastAsia="zh-CN"/>
        </w:rPr>
        <w:t>与</w:t>
      </w:r>
      <w:r>
        <w:rPr>
          <w:rFonts w:hint="eastAsia" w:ascii="Times New Roman" w:hAnsi="Times New Roman" w:eastAsia="仿宋" w:cs="仿宋"/>
          <w:smallCaps w:val="0"/>
          <w:snapToGrid/>
          <w:color w:val="auto"/>
          <w:kern w:val="1"/>
          <w:sz w:val="32"/>
          <w:szCs w:val="32"/>
          <w:lang w:eastAsia="zh-CN"/>
        </w:rPr>
        <w:t>结构</w:t>
      </w:r>
      <w:r>
        <w:rPr>
          <w:rFonts w:hint="eastAsia" w:ascii="Times New Roman" w:hAnsi="Times New Roman" w:eastAsia="仿宋" w:cs="仿宋"/>
          <w:smallCaps w:val="0"/>
          <w:snapToGrid/>
          <w:color w:val="auto"/>
          <w:kern w:val="1"/>
          <w:sz w:val="32"/>
          <w:szCs w:val="32"/>
          <w:lang w:val="en-US" w:eastAsia="zh-CN"/>
        </w:rPr>
        <w:t>显著</w:t>
      </w:r>
      <w:r>
        <w:rPr>
          <w:rFonts w:hint="eastAsia" w:ascii="Times New Roman" w:hAnsi="Times New Roman" w:eastAsia="仿宋" w:cs="仿宋"/>
          <w:smallCaps w:val="0"/>
          <w:snapToGrid/>
          <w:color w:val="auto"/>
          <w:kern w:val="1"/>
          <w:sz w:val="32"/>
          <w:szCs w:val="32"/>
          <w:lang w:eastAsia="zh-CN"/>
        </w:rPr>
        <w:t>优化。矿山开采规模与</w:t>
      </w:r>
      <w:r>
        <w:rPr>
          <w:rFonts w:hint="eastAsia" w:ascii="Times New Roman" w:hAnsi="Times New Roman" w:eastAsia="仿宋" w:cs="仿宋"/>
          <w:smallCaps w:val="0"/>
          <w:snapToGrid/>
          <w:color w:val="auto"/>
          <w:kern w:val="1"/>
          <w:sz w:val="32"/>
          <w:szCs w:val="32"/>
          <w:lang w:val="en-US" w:eastAsia="zh-CN"/>
        </w:rPr>
        <w:t>资源</w:t>
      </w:r>
      <w:r>
        <w:rPr>
          <w:rFonts w:hint="eastAsia" w:ascii="Times New Roman" w:hAnsi="Times New Roman" w:eastAsia="仿宋" w:cs="仿宋"/>
          <w:smallCaps w:val="0"/>
          <w:snapToGrid/>
          <w:color w:val="auto"/>
          <w:kern w:val="1"/>
          <w:sz w:val="32"/>
          <w:szCs w:val="32"/>
          <w:lang w:eastAsia="zh-CN"/>
        </w:rPr>
        <w:t>储量规模基本相适应，小型矿山关停并转与资源整合成效</w:t>
      </w:r>
      <w:r>
        <w:rPr>
          <w:rFonts w:hint="eastAsia" w:ascii="Times New Roman" w:hAnsi="Times New Roman" w:eastAsia="仿宋" w:cs="仿宋"/>
          <w:smallCaps w:val="0"/>
          <w:snapToGrid/>
          <w:color w:val="auto"/>
          <w:kern w:val="1"/>
          <w:sz w:val="32"/>
          <w:szCs w:val="32"/>
          <w:lang w:val="en-US" w:eastAsia="zh-CN"/>
        </w:rPr>
        <w:t>突出</w:t>
      </w:r>
      <w:r>
        <w:rPr>
          <w:rFonts w:hint="eastAsia" w:ascii="Times New Roman" w:hAnsi="Times New Roman" w:eastAsia="仿宋" w:cs="仿宋"/>
          <w:smallCaps w:val="0"/>
          <w:snapToGrid/>
          <w:color w:val="auto"/>
          <w:kern w:val="1"/>
          <w:sz w:val="32"/>
          <w:szCs w:val="32"/>
          <w:lang w:eastAsia="zh-CN"/>
        </w:rPr>
        <w:t>，滥采乱挖、破坏性开采</w:t>
      </w:r>
      <w:r>
        <w:rPr>
          <w:rFonts w:hint="eastAsia" w:ascii="Times New Roman" w:hAnsi="Times New Roman" w:eastAsia="仿宋" w:cs="仿宋"/>
          <w:smallCaps w:val="0"/>
          <w:snapToGrid/>
          <w:color w:val="auto"/>
          <w:kern w:val="1"/>
          <w:sz w:val="32"/>
          <w:szCs w:val="32"/>
          <w:lang w:val="en-US" w:eastAsia="zh-CN"/>
        </w:rPr>
        <w:t>行为基本杜绝</w:t>
      </w:r>
      <w:r>
        <w:rPr>
          <w:rFonts w:hint="eastAsia" w:ascii="Times New Roman" w:hAnsi="Times New Roman" w:eastAsia="仿宋" w:cs="仿宋"/>
          <w:smallCaps w:val="0"/>
          <w:snapToGrid/>
          <w:color w:val="auto"/>
          <w:kern w:val="1"/>
          <w:sz w:val="32"/>
          <w:szCs w:val="32"/>
          <w:lang w:eastAsia="zh-CN"/>
        </w:rPr>
        <w:t>，资源节约与综合利用</w:t>
      </w:r>
      <w:r>
        <w:rPr>
          <w:rFonts w:hint="eastAsia" w:ascii="Times New Roman" w:hAnsi="Times New Roman" w:eastAsia="仿宋" w:cs="仿宋"/>
          <w:smallCaps w:val="0"/>
          <w:snapToGrid/>
          <w:color w:val="auto"/>
          <w:kern w:val="1"/>
          <w:sz w:val="32"/>
          <w:szCs w:val="32"/>
          <w:lang w:val="en-US" w:eastAsia="zh-CN"/>
        </w:rPr>
        <w:t>水平稳步提升</w:t>
      </w:r>
      <w:r>
        <w:rPr>
          <w:rFonts w:hint="eastAsia" w:ascii="Times New Roman" w:hAnsi="Times New Roman" w:eastAsia="仿宋" w:cs="仿宋"/>
          <w:smallCaps w:val="0"/>
          <w:snapToGrid/>
          <w:color w:val="auto"/>
          <w:kern w:val="1"/>
          <w:sz w:val="32"/>
          <w:szCs w:val="32"/>
          <w:lang w:eastAsia="zh-CN"/>
        </w:rPr>
        <w:t>。</w:t>
      </w:r>
    </w:p>
    <w:p w14:paraId="141EA302">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绿色矿业发展走在全区前列。</w:t>
      </w:r>
      <w:r>
        <w:rPr>
          <w:rFonts w:hint="eastAsia" w:ascii="Times New Roman" w:hAnsi="Times New Roman" w:eastAsia="仿宋" w:cs="仿宋"/>
          <w:smallCaps w:val="0"/>
          <w:snapToGrid/>
          <w:color w:val="auto"/>
          <w:kern w:val="1"/>
          <w:sz w:val="32"/>
          <w:szCs w:val="32"/>
          <w:lang w:eastAsia="zh-CN"/>
        </w:rPr>
        <w:t>截止202</w:t>
      </w:r>
      <w:r>
        <w:rPr>
          <w:rFonts w:hint="eastAsia" w:ascii="Times New Roman" w:hAnsi="Times New Roman" w:eastAsia="仿宋" w:cs="仿宋"/>
          <w:smallCaps w:val="0"/>
          <w:snapToGrid/>
          <w:color w:val="auto"/>
          <w:kern w:val="1"/>
          <w:sz w:val="32"/>
          <w:szCs w:val="32"/>
          <w:lang w:val="en-US" w:eastAsia="zh-CN"/>
        </w:rPr>
        <w:t>4</w:t>
      </w:r>
      <w:r>
        <w:rPr>
          <w:rFonts w:hint="eastAsia" w:ascii="Times New Roman" w:hAnsi="Times New Roman" w:eastAsia="仿宋" w:cs="仿宋"/>
          <w:smallCaps w:val="0"/>
          <w:snapToGrid/>
          <w:color w:val="auto"/>
          <w:kern w:val="1"/>
          <w:sz w:val="32"/>
          <w:szCs w:val="32"/>
          <w:lang w:eastAsia="zh-CN"/>
        </w:rPr>
        <w:t>年底，银川市已建成了国家级绿色矿山</w:t>
      </w:r>
      <w:r>
        <w:rPr>
          <w:rFonts w:hint="eastAsia" w:ascii="Times New Roman" w:hAnsi="Times New Roman" w:eastAsia="仿宋" w:cs="仿宋"/>
          <w:smallCaps w:val="0"/>
          <w:snapToGrid/>
          <w:color w:val="auto"/>
          <w:kern w:val="1"/>
          <w:sz w:val="32"/>
          <w:szCs w:val="32"/>
          <w:lang w:val="en-US" w:eastAsia="zh-CN"/>
        </w:rPr>
        <w:t>4</w:t>
      </w:r>
      <w:r>
        <w:rPr>
          <w:rFonts w:hint="eastAsia" w:ascii="Times New Roman" w:hAnsi="Times New Roman" w:eastAsia="仿宋" w:cs="仿宋"/>
          <w:smallCaps w:val="0"/>
          <w:snapToGrid/>
          <w:color w:val="auto"/>
          <w:kern w:val="1"/>
          <w:sz w:val="32"/>
          <w:szCs w:val="32"/>
          <w:lang w:eastAsia="zh-CN"/>
        </w:rPr>
        <w:t>家，</w:t>
      </w:r>
      <w:r>
        <w:rPr>
          <w:rFonts w:hint="eastAsia" w:ascii="Times New Roman" w:hAnsi="Times New Roman" w:eastAsia="仿宋" w:cs="仿宋"/>
          <w:smallCaps w:val="0"/>
          <w:snapToGrid/>
          <w:color w:val="auto"/>
          <w:kern w:val="1"/>
          <w:sz w:val="32"/>
          <w:szCs w:val="32"/>
          <w:lang w:val="en-US" w:eastAsia="zh-CN"/>
        </w:rPr>
        <w:t>自治区级绿色矿山企业17家，</w:t>
      </w:r>
      <w:r>
        <w:rPr>
          <w:rFonts w:hint="eastAsia" w:ascii="Times New Roman" w:hAnsi="Times New Roman" w:eastAsia="仿宋" w:cs="仿宋"/>
          <w:smallCaps w:val="0"/>
          <w:snapToGrid/>
          <w:color w:val="auto"/>
          <w:kern w:val="1"/>
          <w:sz w:val="32"/>
          <w:szCs w:val="32"/>
          <w:lang w:eastAsia="zh-CN"/>
        </w:rPr>
        <w:t>形成一批可复制、可推广的建设模式与经验，为全区绿色矿业发展树立了示范标杆。</w:t>
      </w:r>
    </w:p>
    <w:p w14:paraId="185C8AD5">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矿山生态修复成效扎实显现。</w:t>
      </w:r>
      <w:r>
        <w:rPr>
          <w:rFonts w:hint="eastAsia" w:ascii="Times New Roman" w:hAnsi="Times New Roman" w:eastAsia="仿宋" w:cs="仿宋"/>
          <w:smallCaps w:val="0"/>
          <w:snapToGrid/>
          <w:color w:val="auto"/>
          <w:kern w:val="1"/>
          <w:sz w:val="32"/>
          <w:szCs w:val="32"/>
          <w:lang w:eastAsia="zh-CN"/>
        </w:rPr>
        <w:t>“十</w:t>
      </w:r>
      <w:r>
        <w:rPr>
          <w:rFonts w:hint="eastAsia" w:ascii="Times New Roman" w:hAnsi="Times New Roman" w:eastAsia="仿宋" w:cs="仿宋"/>
          <w:smallCaps w:val="0"/>
          <w:snapToGrid/>
          <w:color w:val="auto"/>
          <w:kern w:val="1"/>
          <w:sz w:val="32"/>
          <w:szCs w:val="32"/>
          <w:lang w:val="en-US" w:eastAsia="zh-CN"/>
        </w:rPr>
        <w:t>四</w:t>
      </w:r>
      <w:r>
        <w:rPr>
          <w:rFonts w:hint="eastAsia" w:ascii="Times New Roman" w:hAnsi="Times New Roman" w:eastAsia="仿宋" w:cs="仿宋"/>
          <w:smallCaps w:val="0"/>
          <w:snapToGrid/>
          <w:color w:val="auto"/>
          <w:kern w:val="1"/>
          <w:sz w:val="32"/>
          <w:szCs w:val="32"/>
          <w:lang w:eastAsia="zh-CN"/>
        </w:rPr>
        <w:t>五”期间，共恢复治理27</w:t>
      </w:r>
      <w:r>
        <w:rPr>
          <w:rFonts w:hint="eastAsia" w:ascii="Times New Roman" w:hAnsi="Times New Roman" w:eastAsia="仿宋" w:cs="仿宋"/>
          <w:smallCaps w:val="0"/>
          <w:snapToGrid/>
          <w:color w:val="auto"/>
          <w:kern w:val="1"/>
          <w:sz w:val="32"/>
          <w:szCs w:val="32"/>
          <w:lang w:val="en-US" w:eastAsia="zh-CN"/>
        </w:rPr>
        <w:t>30</w:t>
      </w:r>
      <w:r>
        <w:rPr>
          <w:rFonts w:hint="eastAsia" w:ascii="Times New Roman" w:hAnsi="Times New Roman" w:eastAsia="仿宋" w:cs="仿宋"/>
          <w:smallCaps w:val="0"/>
          <w:snapToGrid/>
          <w:color w:val="auto"/>
          <w:kern w:val="1"/>
          <w:sz w:val="32"/>
          <w:szCs w:val="32"/>
          <w:lang w:eastAsia="zh-CN"/>
        </w:rPr>
        <w:t>公顷，矿山开采产生的煤矸石、尾矿、废渣、废水等不合理堆（排）放造成的地质环境污染破坏以及采矿引起的次生地质灾害逐步得到有效治理，采矿引发的地质灾害隐患得到</w:t>
      </w:r>
      <w:r>
        <w:rPr>
          <w:rFonts w:hint="eastAsia" w:ascii="Times New Roman" w:hAnsi="Times New Roman" w:eastAsia="仿宋" w:cs="仿宋"/>
          <w:smallCaps w:val="0"/>
          <w:snapToGrid/>
          <w:color w:val="auto"/>
          <w:kern w:val="1"/>
          <w:sz w:val="32"/>
          <w:szCs w:val="32"/>
          <w:lang w:val="en-US" w:eastAsia="zh-CN"/>
        </w:rPr>
        <w:t>有效防范</w:t>
      </w:r>
      <w:r>
        <w:rPr>
          <w:rFonts w:hint="eastAsia" w:ascii="Times New Roman" w:hAnsi="Times New Roman" w:eastAsia="仿宋" w:cs="仿宋"/>
          <w:smallCaps w:val="0"/>
          <w:snapToGrid/>
          <w:color w:val="auto"/>
          <w:kern w:val="1"/>
          <w:sz w:val="32"/>
          <w:szCs w:val="32"/>
          <w:lang w:eastAsia="zh-CN"/>
        </w:rPr>
        <w:t>。</w:t>
      </w:r>
    </w:p>
    <w:p w14:paraId="7775C14B">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矿产资源管理能力全面提升。</w:t>
      </w:r>
      <w:r>
        <w:rPr>
          <w:rFonts w:hint="eastAsia" w:ascii="Times New Roman" w:hAnsi="Times New Roman" w:eastAsia="仿宋" w:cs="仿宋"/>
          <w:smallCaps w:val="0"/>
          <w:snapToGrid/>
          <w:color w:val="auto"/>
          <w:kern w:val="1"/>
          <w:sz w:val="32"/>
          <w:szCs w:val="32"/>
          <w:lang w:val="en-US" w:eastAsia="zh-CN"/>
        </w:rPr>
        <w:t>持续</w:t>
      </w:r>
      <w:r>
        <w:rPr>
          <w:rFonts w:hint="eastAsia" w:ascii="Times New Roman" w:hAnsi="Times New Roman" w:eastAsia="仿宋" w:cs="仿宋"/>
          <w:smallCaps w:val="0"/>
          <w:snapToGrid/>
          <w:color w:val="auto"/>
          <w:kern w:val="1"/>
          <w:sz w:val="32"/>
          <w:szCs w:val="32"/>
          <w:lang w:eastAsia="zh-CN"/>
        </w:rPr>
        <w:t>深化“放管服”改革，优化矿业权审批流程，全面推行矿业权竞争性出让；严格落实矿产资源权益金制度，健全完善有偿使用体系；构建矿山建设、生产运营、闭坑修复全链条闭环监管机制，无证开采、超层越界、生态修复不到位等突出问题得到有效解决。</w:t>
      </w:r>
    </w:p>
    <w:p w14:paraId="08D9ADA5">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（二）存在问题</w:t>
      </w:r>
    </w:p>
    <w:p w14:paraId="5C52D0A8">
      <w:pPr>
        <w:pStyle w:val="14"/>
        <w:keepNext w:val="0"/>
        <w:keepLines w:val="0"/>
        <w:pageBreakBefore w:val="0"/>
        <w:widowControl/>
        <w:kinsoku/>
        <w:wordWrap/>
        <w:overflowPunct/>
        <w:topLinePunct w:val="0"/>
        <w:autoSpaceDE w:val="0"/>
        <w:autoSpaceDN w:val="0"/>
        <w:bidi w:val="0"/>
        <w:adjustRightInd w:val="0"/>
        <w:snapToGrid w:val="0"/>
        <w:spacing w:beforeLines="0" w:line="600" w:lineRule="exact"/>
        <w:ind w:left="0" w:right="0" w:firstLine="643" w:firstLineChars="200"/>
        <w:jc w:val="both"/>
        <w:textAlignment w:val="baseline"/>
        <w:rPr>
          <w:rFonts w:hint="eastAsia" w:ascii="Times New Roman" w:hAnsi="Times New Roman" w:eastAsia="仿宋" w:cs="仿宋"/>
          <w:smallCaps w:val="0"/>
          <w:snapToGrid/>
          <w:color w:val="auto"/>
          <w:kern w:val="1"/>
          <w:sz w:val="32"/>
          <w:szCs w:val="32"/>
          <w:highlight w:val="none"/>
          <w:lang w:val="en-US" w:eastAsia="zh-CN" w:bidi="ar-SA"/>
        </w:rPr>
      </w:pPr>
      <w:r>
        <w:rPr>
          <w:rFonts w:hint="eastAsia" w:ascii="Times New Roman" w:hAnsi="Times New Roman" w:eastAsia="仿宋" w:cs="仿宋"/>
          <w:b/>
          <w:bCs/>
          <w:smallCaps w:val="0"/>
          <w:snapToGrid/>
          <w:color w:val="auto"/>
          <w:kern w:val="1"/>
          <w:sz w:val="32"/>
          <w:szCs w:val="32"/>
          <w:highlight w:val="none"/>
          <w:lang w:val="en-US" w:eastAsia="zh-CN" w:bidi="ar-SA"/>
        </w:rPr>
        <w:t>矿产勘查整体投入不足、精度不高。</w:t>
      </w:r>
      <w:r>
        <w:rPr>
          <w:rFonts w:hint="eastAsia" w:ascii="Times New Roman" w:hAnsi="Times New Roman" w:eastAsia="仿宋" w:cs="仿宋"/>
          <w:smallCaps w:val="0"/>
          <w:snapToGrid/>
          <w:color w:val="auto"/>
          <w:kern w:val="1"/>
          <w:sz w:val="32"/>
          <w:szCs w:val="32"/>
          <w:highlight w:val="none"/>
          <w:lang w:val="en-US" w:eastAsia="zh-CN" w:bidi="ar-SA"/>
        </w:rPr>
        <w:t>多数区域仍停留在中低程度勘查阶段，部分优势矿种勘查投入分散，缺乏系统性整装勘查，新增资源储量增长缓慢，后备资源基地不足。地热、煤层气等清洁能源勘查起步晚、技术薄弱，资源潜力评价不充分，开发利用缺乏可靠地质依据。勘查技术与装备水平不高，信息化、智能化勘查应用不足，导致资源评价精度低、开发风险大，直接制约矿产资源可持续供给与产业布局，与区域能源建材产业发展需求存在缺口。</w:t>
      </w:r>
    </w:p>
    <w:p w14:paraId="5D7E32A7">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highlight w:val="yellow"/>
          <w:lang w:eastAsia="zh-CN"/>
        </w:rPr>
      </w:pPr>
      <w:r>
        <w:rPr>
          <w:rFonts w:hint="eastAsia" w:ascii="Times New Roman" w:hAnsi="Times New Roman" w:eastAsia="仿宋" w:cs="仿宋"/>
          <w:b/>
          <w:bCs/>
          <w:smallCaps w:val="0"/>
          <w:snapToGrid/>
          <w:color w:val="auto"/>
          <w:kern w:val="1"/>
          <w:sz w:val="32"/>
          <w:szCs w:val="32"/>
          <w:highlight w:val="none"/>
          <w:lang w:eastAsia="zh-CN"/>
        </w:rPr>
        <w:t>矿山生态环境治理任务仍然艰巨。</w:t>
      </w:r>
      <w:r>
        <w:rPr>
          <w:rFonts w:hint="eastAsia" w:ascii="Times New Roman" w:hAnsi="Times New Roman" w:eastAsia="仿宋" w:cs="仿宋"/>
          <w:smallCaps w:val="0"/>
          <w:snapToGrid/>
          <w:color w:val="auto"/>
          <w:kern w:val="1"/>
          <w:sz w:val="32"/>
          <w:szCs w:val="32"/>
          <w:highlight w:val="none"/>
          <w:lang w:eastAsia="zh-CN"/>
        </w:rPr>
        <w:t>尽管 “十四五” 期间实施了一批矿山生态修复项目，但部分历史遗留矿山地质环境问题尚未彻底解决，治理修复系统性、长效性仍需加强，与黄河流域生态保护高质量发展要求仍有差距。</w:t>
      </w:r>
    </w:p>
    <w:p w14:paraId="42C92F0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地热资源开发利用缺乏统一规划。</w:t>
      </w:r>
      <w:r>
        <w:rPr>
          <w:rFonts w:hint="eastAsia" w:ascii="Times New Roman" w:hAnsi="Times New Roman" w:eastAsia="仿宋" w:cs="仿宋"/>
          <w:smallCaps w:val="0"/>
          <w:snapToGrid/>
          <w:color w:val="auto"/>
          <w:kern w:val="1"/>
          <w:sz w:val="32"/>
          <w:szCs w:val="32"/>
          <w:lang w:eastAsia="zh-CN"/>
        </w:rPr>
        <w:t>系统性地热勘探评价工作部署不够，资源开发与保护统筹不够到位，开发利用秩序有待规范。地热勘查开发管理政策体系不够健全，部门间协同监管机制不够顺畅，统筹管理与精准管控难度较大。</w:t>
      </w:r>
    </w:p>
    <w:p w14:paraId="7BE35750">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6" w:name="_Toc7684"/>
      <w:r>
        <w:rPr>
          <w:rFonts w:hint="eastAsia" w:ascii="黑体" w:hAnsi="黑体" w:eastAsia="黑体" w:cs="黑体"/>
          <w:b w:val="0"/>
          <w:bCs w:val="0"/>
          <w:smallCaps w:val="0"/>
          <w:color w:val="auto"/>
          <w:sz w:val="32"/>
          <w:szCs w:val="32"/>
          <w:lang w:val="en-US" w:eastAsia="zh-CN"/>
        </w:rPr>
        <w:t>三、形势与要求</w:t>
      </w:r>
      <w:bookmarkEnd w:id="6"/>
    </w:p>
    <w:p w14:paraId="37835396">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（一）面临形势</w:t>
      </w:r>
    </w:p>
    <w:p w14:paraId="621A41C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b w:val="0"/>
          <w:bCs w:val="0"/>
          <w:smallCaps w:val="0"/>
          <w:snapToGrid/>
          <w:color w:val="auto"/>
          <w:kern w:val="1"/>
          <w:sz w:val="32"/>
          <w:szCs w:val="32"/>
          <w:lang w:eastAsia="zh-CN"/>
        </w:rPr>
      </w:pPr>
      <w:r>
        <w:rPr>
          <w:rFonts w:hint="eastAsia" w:ascii="Times New Roman" w:hAnsi="Times New Roman" w:eastAsia="仿宋" w:cs="仿宋"/>
          <w:b w:val="0"/>
          <w:bCs w:val="0"/>
          <w:smallCaps w:val="0"/>
          <w:snapToGrid/>
          <w:color w:val="auto"/>
          <w:kern w:val="1"/>
          <w:sz w:val="32"/>
          <w:szCs w:val="32"/>
          <w:lang w:eastAsia="zh-CN"/>
        </w:rPr>
        <w:t>“十五五” 时期是全面建设社会主义现代化国家的关键时期。自治区以黄河流域生态保护和高质量发展先行区建设为统领，着力在黄河流域率先探索生态良好、生产发展、生活富裕的文明发展路径，为银川市矿业高质量发展提供了战略指引。全市经济社会发展对矿产资源需求仍保持高位，同时部分重要矿种稳定保供压力持续加大，矿产资源勘查、开发利用与生态保护工作必须立足全局、系统谋划，主动适应新形势新任务新要求。</w:t>
      </w:r>
    </w:p>
    <w:p w14:paraId="5E8A7267">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（二）新的要求</w:t>
      </w:r>
    </w:p>
    <w:p w14:paraId="70A5392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b w:val="0"/>
          <w:bCs w:val="0"/>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聚焦资源安全保障，提升地质勘查与资源供给能力。</w:t>
      </w:r>
      <w:r>
        <w:rPr>
          <w:rFonts w:hint="eastAsia" w:ascii="Times New Roman" w:hAnsi="Times New Roman" w:eastAsia="仿宋" w:cs="仿宋"/>
          <w:b w:val="0"/>
          <w:bCs w:val="0"/>
          <w:smallCaps w:val="0"/>
          <w:snapToGrid/>
          <w:color w:val="auto"/>
          <w:kern w:val="1"/>
          <w:sz w:val="32"/>
          <w:szCs w:val="32"/>
          <w:lang w:eastAsia="zh-CN"/>
        </w:rPr>
        <w:t>未来五年全市经济将保持中高速增长，矿产资源需求总量维持高位。必须稳定煤炭生产供应，强化宁东能源化工基地资源保障，支撑国内一流现代煤化工基地建设；紧盯新型城镇化、重大交通基础设施等建设需求，加大砂石土类矿产勘查开发与供应力度，切实保障重点项目建设资源需求。</w:t>
      </w:r>
    </w:p>
    <w:p w14:paraId="5DAB8C47">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b w:val="0"/>
          <w:bCs w:val="0"/>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聚焦高质量发展，优化勘查开发布局与产业结构。</w:t>
      </w:r>
      <w:r>
        <w:rPr>
          <w:rFonts w:hint="eastAsia" w:ascii="Times New Roman" w:hAnsi="Times New Roman" w:eastAsia="仿宋" w:cs="仿宋"/>
          <w:b w:val="0"/>
          <w:bCs w:val="0"/>
          <w:smallCaps w:val="0"/>
          <w:snapToGrid/>
          <w:color w:val="auto"/>
          <w:kern w:val="1"/>
          <w:sz w:val="32"/>
          <w:szCs w:val="32"/>
          <w:lang w:eastAsia="zh-CN"/>
        </w:rPr>
        <w:t>立足银川北部绿色发展区核心定位，示范引领生态保护修复示范区与经济转型发展创新区建设，合理开发煤炭等优势矿产，推动煤炭清洁高效低碳利用，持续提升矿山“三率”水平。严格矿业开发准入，延伸矿业产业链价值链，规划建设一批规模化、集约化、稳定供应的砂石集中开采区，全面提升矿产资源高效利用水平。</w:t>
      </w:r>
    </w:p>
    <w:p w14:paraId="7645645B">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b w:val="0"/>
          <w:bCs w:val="0"/>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聚焦绿色低碳转型，全域推进绿色矿业发展。</w:t>
      </w:r>
      <w:r>
        <w:rPr>
          <w:rFonts w:hint="eastAsia" w:ascii="Times New Roman" w:hAnsi="Times New Roman" w:eastAsia="仿宋" w:cs="仿宋"/>
          <w:b w:val="0"/>
          <w:bCs w:val="0"/>
          <w:smallCaps w:val="0"/>
          <w:snapToGrid/>
          <w:color w:val="auto"/>
          <w:kern w:val="1"/>
          <w:sz w:val="32"/>
          <w:szCs w:val="32"/>
          <w:lang w:eastAsia="zh-CN"/>
        </w:rPr>
        <w:t>严格落实自治区矿产资源规划部署，压实</w:t>
      </w:r>
      <w:r>
        <w:rPr>
          <w:rFonts w:hint="eastAsia" w:ascii="Times New Roman" w:hAnsi="Times New Roman" w:eastAsia="仿宋" w:cs="仿宋"/>
          <w:b w:val="0"/>
          <w:bCs w:val="0"/>
          <w:smallCaps w:val="0"/>
          <w:snapToGrid/>
          <w:color w:val="auto"/>
          <w:kern w:val="1"/>
          <w:sz w:val="32"/>
          <w:szCs w:val="32"/>
          <w:lang w:val="en-US" w:eastAsia="zh-CN"/>
        </w:rPr>
        <w:t>银川市</w:t>
      </w:r>
      <w:r>
        <w:rPr>
          <w:rFonts w:hint="eastAsia" w:ascii="Times New Roman" w:hAnsi="Times New Roman" w:eastAsia="仿宋" w:cs="仿宋"/>
          <w:b w:val="0"/>
          <w:bCs w:val="0"/>
          <w:smallCaps w:val="0"/>
          <w:snapToGrid/>
          <w:color w:val="auto"/>
          <w:kern w:val="1"/>
          <w:sz w:val="32"/>
          <w:szCs w:val="32"/>
          <w:lang w:eastAsia="zh-CN"/>
        </w:rPr>
        <w:t>政府监管责任与企业主体责任，推动传统矿业绿色低碳转型。将绿色发展理念贯穿矿产勘查、开发利用、生态修复全过程，强化绿色勘查、绿色矿山建设与系统治理修复，加快构建矿业绿色发展新格局。</w:t>
      </w:r>
    </w:p>
    <w:p w14:paraId="33FD90DE">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b w:val="0"/>
          <w:bCs w:val="0"/>
          <w:smallCaps w:val="0"/>
          <w:snapToGrid/>
          <w:color w:val="auto"/>
          <w:kern w:val="1"/>
          <w:sz w:val="32"/>
          <w:szCs w:val="32"/>
          <w:lang w:eastAsia="zh-CN"/>
        </w:rPr>
        <w:sectPr>
          <w:footerReference r:id="rId6" w:type="default"/>
          <w:pgSz w:w="11907" w:h="16839"/>
          <w:pgMar w:top="1440" w:right="1800" w:bottom="1440" w:left="1800" w:header="941" w:footer="945" w:gutter="0"/>
          <w:pgNumType w:fmt="decimal"/>
          <w:cols w:space="720" w:num="1"/>
        </w:sectPr>
      </w:pPr>
      <w:r>
        <w:rPr>
          <w:rFonts w:hint="eastAsia" w:ascii="Times New Roman" w:hAnsi="Times New Roman" w:eastAsia="仿宋" w:cs="仿宋"/>
          <w:b/>
          <w:bCs/>
          <w:smallCaps w:val="0"/>
          <w:snapToGrid/>
          <w:color w:val="auto"/>
          <w:kern w:val="1"/>
          <w:sz w:val="32"/>
          <w:szCs w:val="32"/>
          <w:lang w:eastAsia="zh-CN"/>
        </w:rPr>
        <w:t>聚焦改革创新赋能，深化矿产资源管理现代化建设。</w:t>
      </w:r>
      <w:r>
        <w:rPr>
          <w:rFonts w:hint="eastAsia" w:ascii="Times New Roman" w:hAnsi="Times New Roman" w:eastAsia="仿宋" w:cs="仿宋"/>
          <w:b w:val="0"/>
          <w:bCs w:val="0"/>
          <w:smallCaps w:val="0"/>
          <w:snapToGrid/>
          <w:color w:val="auto"/>
          <w:kern w:val="1"/>
          <w:sz w:val="32"/>
          <w:szCs w:val="32"/>
          <w:lang w:eastAsia="zh-CN"/>
        </w:rPr>
        <w:t>持续深化 “放管服” 改革，优化矿业领域营商环境，依法保障矿业权人合法权益，积极推进 “净矿” 出让。强化地质矿产科技创新，加快矿山数字化、智能化升级改造，提升矿业技术装备水平与核心竞争力，培育壮大矿业发展新动能，支撑矿业持续健康发展。</w:t>
      </w:r>
    </w:p>
    <w:p w14:paraId="1CA6CECF">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jc w:val="center"/>
        <w:textAlignment w:val="auto"/>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pPr>
      <w:bookmarkStart w:id="7" w:name="_Toc24698"/>
      <w:r>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t>第二章   指导思想和基本原则</w:t>
      </w:r>
      <w:bookmarkEnd w:id="7"/>
    </w:p>
    <w:p w14:paraId="664E4634">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8" w:name="bookmark35"/>
      <w:bookmarkEnd w:id="8"/>
      <w:bookmarkStart w:id="9" w:name="_Toc8617"/>
      <w:r>
        <w:rPr>
          <w:rFonts w:hint="eastAsia" w:ascii="黑体" w:hAnsi="黑体" w:eastAsia="黑体" w:cs="黑体"/>
          <w:b w:val="0"/>
          <w:bCs w:val="0"/>
          <w:smallCaps w:val="0"/>
          <w:color w:val="auto"/>
          <w:sz w:val="32"/>
          <w:szCs w:val="32"/>
          <w:lang w:val="en-US" w:eastAsia="zh-CN"/>
        </w:rPr>
        <w:t>一、指导思想</w:t>
      </w:r>
      <w:bookmarkEnd w:id="9"/>
    </w:p>
    <w:p w14:paraId="0CB3275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以习近平新时代中国特色社会主义思想为指导，全面贯彻党的二十大和二十届</w:t>
      </w:r>
      <w:r>
        <w:rPr>
          <w:rFonts w:hint="eastAsia" w:ascii="Times New Roman" w:hAnsi="Times New Roman" w:eastAsia="仿宋" w:cs="仿宋"/>
          <w:smallCaps w:val="0"/>
          <w:snapToGrid/>
          <w:color w:val="auto"/>
          <w:kern w:val="1"/>
          <w:sz w:val="32"/>
          <w:szCs w:val="32"/>
          <w:lang w:val="en-US" w:eastAsia="zh-CN"/>
        </w:rPr>
        <w:t>历次</w:t>
      </w:r>
      <w:r>
        <w:rPr>
          <w:rFonts w:hint="eastAsia" w:ascii="Times New Roman" w:hAnsi="Times New Roman" w:eastAsia="仿宋" w:cs="仿宋"/>
          <w:smallCaps w:val="0"/>
          <w:snapToGrid/>
          <w:color w:val="auto"/>
          <w:kern w:val="1"/>
          <w:sz w:val="32"/>
          <w:szCs w:val="32"/>
          <w:lang w:eastAsia="zh-CN"/>
        </w:rPr>
        <w:t>全会精神，深入践行习近平生态文明思想，完整、准确、全面贯彻新发展理念，主动服务和融入新发展格局。以建设黄河流域生态保护和高质量发展先行区示范市为核心使命，以保障能源资源安全、服务经济社会高质量发展为根本目标，以推动矿业绿色低碳转型、促进资源节约集约高效利用为主线，以稳定资源供应链、延伸矿业产业链、提升价值链为关键抓手。统筹发展和安全，正确处理资源开发与生态保护、当前利益与长远发展、局部需求与全局战略的关系，系统构建矿产资源保护、勘查、开发、修复全链条管理新格局，全力助推先行区示范市建设，在建设经济繁荣、民族团结、环境优美、人民富裕的美丽新宁夏中走在前、作表率。</w:t>
      </w:r>
    </w:p>
    <w:p w14:paraId="4F0226FB">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10" w:name="_Toc24595"/>
      <w:r>
        <w:rPr>
          <w:rFonts w:hint="eastAsia" w:ascii="黑体" w:hAnsi="黑体" w:eastAsia="黑体" w:cs="黑体"/>
          <w:b w:val="0"/>
          <w:bCs w:val="0"/>
          <w:smallCaps w:val="0"/>
          <w:color w:val="auto"/>
          <w:sz w:val="32"/>
          <w:szCs w:val="32"/>
          <w:lang w:val="en-US" w:eastAsia="zh-CN"/>
        </w:rPr>
        <w:t>二、基本原则</w:t>
      </w:r>
      <w:bookmarkEnd w:id="10"/>
    </w:p>
    <w:p w14:paraId="53484108">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（一）坚持生态优先，统筹开发保护</w:t>
      </w:r>
    </w:p>
    <w:p w14:paraId="34EC28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立足银川市生态安全屏障、黄河流域生态保护核心区战略定位，牢固树立 “绿水青山就是金山银山” 理念，坚守生态保护红线、环境质量底线、资源利用上线。将生态保护优先原则贯穿矿产勘查开发全过程，严格落实生态空间管控要求，统筹贺兰山生态屏障、黄河流域生态保护与矿业发展，推动资源开发与生态保护协同共进、和谐共生，实现 “在保护中开发、在开发中保护”。</w:t>
      </w:r>
    </w:p>
    <w:p w14:paraId="0340FA8C">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（二）坚持结构优化，强化资源保障</w:t>
      </w:r>
    </w:p>
    <w:p w14:paraId="526753D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紧扣自治区、银川市产业发展布局与重大战略需求，聚焦煤炭、煤层气、地热、建筑石料等优势矿产，强化能源资源安全稳定供应。优化矿产勘查开发空间格局，严控开发强度，提高准入门槛，推动矿产开发与区域功能定位、资源环境承载力相匹配。加快矿业结构调整转型升级，建设规模化、集约化资源开发基地，保障宁东现代煤化工基地、新型城镇化与重大基础设施建设资源需求。</w:t>
      </w:r>
    </w:p>
    <w:p w14:paraId="1DDA45DF">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（三）坚持节约集约，促进高效利用</w:t>
      </w:r>
    </w:p>
    <w:p w14:paraId="43DE1FA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落实节约优先战略，强化矿产资源全程保护与高效利用。推广先进适用技术，提升矿山 “三率” 水平，推进煤炭清洁高效利用与尾矿、煤矸石等废弃物综合利用。推动矿山整合、规模化开发，坚决淘汰落后产能，转变资源利用方式，全面提升资源利用效率与综合效益，实现资源利用由粗放低效向集约高效转变。</w:t>
      </w:r>
    </w:p>
    <w:p w14:paraId="08BBF0FB">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（四）坚持绿色转型，深化改革创新</w:t>
      </w:r>
    </w:p>
    <w:p w14:paraId="4CABEDC6">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全面贯彻绿色发展理念，大力推进绿色勘查、绿色矿山建设与矿山生态修复。深化矿产资源管理 “放管服” 改革，优化矿业营商环境，积极推行 “净矿出让”。强化科技创新赋能，加快矿山数字化、智能化、绿色化改造，健全矿政监管与诚信体系，提升法治化、精细化管理水平，培育矿业发展新动能。</w:t>
      </w:r>
    </w:p>
    <w:p w14:paraId="7F4B3B3D">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（五）坚持依法监管，实现多方共赢</w:t>
      </w:r>
    </w:p>
    <w:p w14:paraId="49F36CDA">
      <w:pPr>
        <w:pStyle w:val="14"/>
        <w:keepNext w:val="0"/>
        <w:keepLines w:val="0"/>
        <w:pageBreakBefore w:val="0"/>
        <w:widowControl/>
        <w:kinsoku/>
        <w:wordWrap/>
        <w:overflowPunct/>
        <w:topLinePunct w:val="0"/>
        <w:autoSpaceDE w:val="0"/>
        <w:autoSpaceDN w:val="0"/>
        <w:bidi w:val="0"/>
        <w:adjustRightInd w:val="0"/>
        <w:snapToGrid w:val="0"/>
        <w:spacing w:beforeLines="0" w:line="600" w:lineRule="exact"/>
        <w:ind w:left="0" w:leftChars="0" w:right="0" w:firstLine="640" w:firstLineChars="200"/>
        <w:jc w:val="both"/>
        <w:textAlignment w:val="baseline"/>
        <w:rPr>
          <w:rFonts w:hint="eastAsia" w:ascii="Times New Roman" w:hAnsi="Times New Roman" w:eastAsia="仿宋" w:cs="仿宋"/>
          <w:smallCaps w:val="0"/>
          <w:snapToGrid/>
          <w:color w:val="auto"/>
          <w:kern w:val="1"/>
          <w:sz w:val="32"/>
          <w:szCs w:val="32"/>
          <w:lang w:eastAsia="zh-CN"/>
        </w:rPr>
        <w:sectPr>
          <w:pgSz w:w="11907" w:h="16839"/>
          <w:pgMar w:top="1440" w:right="1800" w:bottom="1440" w:left="1800" w:header="941" w:footer="945" w:gutter="0"/>
          <w:pgNumType w:fmt="decimal"/>
          <w:cols w:space="720" w:num="1"/>
        </w:sectPr>
      </w:pPr>
      <w:r>
        <w:rPr>
          <w:rFonts w:hint="eastAsia" w:ascii="Times New Roman" w:hAnsi="Times New Roman" w:eastAsia="仿宋" w:cs="仿宋"/>
          <w:smallCaps w:val="0"/>
          <w:snapToGrid/>
          <w:color w:val="auto"/>
          <w:kern w:val="1"/>
          <w:sz w:val="32"/>
          <w:szCs w:val="32"/>
          <w:lang w:eastAsia="zh-CN"/>
        </w:rPr>
        <w:t>强化法治思维，严格依照《矿产资源法》等法律法规，依法办矿、依法管矿、依法监管。统筹政府、企业、群众多方利益，健全利益共享与生态补偿机制。严格落实企业主体责任与政府监管责任，强化矿山全生命周期管理，实现生态效益、经济效益、社会效益有机统一，促进矿地和谐、惠民利民。</w:t>
      </w:r>
    </w:p>
    <w:p w14:paraId="606F043D">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jc w:val="center"/>
        <w:textAlignment w:val="auto"/>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pPr>
      <w:bookmarkStart w:id="11" w:name="_Toc3041"/>
      <w:r>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t>第三章   规划目标指标</w:t>
      </w:r>
      <w:bookmarkEnd w:id="11"/>
    </w:p>
    <w:p w14:paraId="7E1F607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十五五”期间，全面提升矿产资源安全保障能力，持续优化矿产资源开发利用结构与空间布局；加快推进矿山转型升级与绿色低碳发展，矿山生态环境质量稳步改善；规范有序发展矿业权市场，矿产资源管理效能持续提升；推动资源效益、经济效益、环境效益与社会效益有机统一，加快构建布局更合理、结构更优化、集约更高效、生态更友好的现代矿业发展新格局。</w:t>
      </w:r>
    </w:p>
    <w:p w14:paraId="3CFB351A">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12" w:name="_Toc19587"/>
      <w:r>
        <w:rPr>
          <w:rFonts w:hint="eastAsia" w:ascii="黑体" w:hAnsi="黑体" w:eastAsia="黑体" w:cs="黑体"/>
          <w:b w:val="0"/>
          <w:bCs w:val="0"/>
          <w:smallCaps w:val="0"/>
          <w:color w:val="auto"/>
          <w:sz w:val="32"/>
          <w:szCs w:val="32"/>
          <w:lang w:val="en-US" w:eastAsia="zh-CN"/>
        </w:rPr>
        <w:t>一、2030年规划目标</w:t>
      </w:r>
      <w:bookmarkEnd w:id="12"/>
    </w:p>
    <w:p w14:paraId="3015489D">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lang w:eastAsia="zh-CN"/>
        </w:rPr>
      </w:pPr>
      <w:r>
        <w:rPr>
          <w:rFonts w:hint="eastAsia" w:ascii="Times New Roman" w:hAnsi="Times New Roman" w:eastAsia="仿宋" w:cs="仿宋"/>
          <w:b/>
          <w:bCs/>
          <w:smallCaps w:val="0"/>
          <w:snapToGrid/>
          <w:color w:val="auto"/>
          <w:kern w:val="1"/>
          <w:sz w:val="32"/>
          <w:szCs w:val="32"/>
          <w:lang w:eastAsia="zh-CN"/>
        </w:rPr>
        <w:t>基础地质与矿产勘查能力稳步提升。</w:t>
      </w:r>
      <w:r>
        <w:rPr>
          <w:rFonts w:hint="eastAsia" w:ascii="Times New Roman" w:hAnsi="Times New Roman" w:eastAsia="仿宋" w:cs="仿宋"/>
          <w:smallCaps w:val="0"/>
          <w:snapToGrid/>
          <w:color w:val="auto"/>
          <w:kern w:val="1"/>
          <w:sz w:val="32"/>
          <w:szCs w:val="32"/>
          <w:lang w:eastAsia="zh-CN"/>
        </w:rPr>
        <w:t>持续强化基础地质调查对资源保障与生态安全的支撑作用，部署实施煤炭资源勘查项目 2 个，力争新增煤炭资源储量 4 亿吨，不断提升重要矿产资源储备保障能力</w:t>
      </w:r>
      <w:r>
        <w:rPr>
          <w:rFonts w:hint="eastAsia" w:ascii="Times New Roman" w:hAnsi="Times New Roman" w:eastAsia="仿宋" w:cs="仿宋"/>
          <w:smallCaps w:val="0"/>
          <w:snapToGrid/>
          <w:color w:val="auto"/>
          <w:kern w:val="1"/>
          <w:sz w:val="32"/>
          <w:szCs w:val="32"/>
          <w:highlight w:val="none"/>
          <w:lang w:eastAsia="zh-CN"/>
        </w:rPr>
        <w:t>。</w:t>
      </w:r>
    </w:p>
    <w:p w14:paraId="7841CA28">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highlight w:val="none"/>
          <w:lang w:eastAsia="zh-CN"/>
        </w:rPr>
      </w:pPr>
      <w:r>
        <w:rPr>
          <w:rFonts w:hint="eastAsia" w:ascii="Times New Roman" w:hAnsi="Times New Roman" w:eastAsia="仿宋" w:cs="仿宋"/>
          <w:b/>
          <w:bCs/>
          <w:smallCaps w:val="0"/>
          <w:snapToGrid/>
          <w:color w:val="auto"/>
          <w:kern w:val="1"/>
          <w:sz w:val="32"/>
          <w:szCs w:val="32"/>
          <w:highlight w:val="none"/>
          <w:lang w:eastAsia="zh-CN"/>
        </w:rPr>
        <w:t>矿产开发布局与结构持续优化。</w:t>
      </w:r>
      <w:r>
        <w:rPr>
          <w:rFonts w:hint="eastAsia" w:ascii="Times New Roman" w:hAnsi="Times New Roman" w:eastAsia="仿宋" w:cs="仿宋"/>
          <w:smallCaps w:val="0"/>
          <w:snapToGrid/>
          <w:color w:val="auto"/>
          <w:kern w:val="1"/>
          <w:sz w:val="32"/>
          <w:szCs w:val="32"/>
          <w:highlight w:val="none"/>
          <w:lang w:eastAsia="zh-CN"/>
        </w:rPr>
        <w:t>矿山空间布局与区域功能定位、资源禀赋更加协调，全市矿山总数控制在 35 家左右；持续巩固资源整合与规模化开发成果，保持大中型矿山比例 100%；形成大矿主导、集约高效、有序开发的矿业发展格局。</w:t>
      </w:r>
    </w:p>
    <w:p w14:paraId="4BE9C88D">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资源节约集约利用水平显著提升。</w:t>
      </w:r>
      <w:r>
        <w:rPr>
          <w:rFonts w:hint="eastAsia" w:ascii="Times New Roman" w:hAnsi="Times New Roman" w:eastAsia="仿宋" w:cs="仿宋"/>
          <w:smallCaps w:val="0"/>
          <w:snapToGrid/>
          <w:color w:val="auto"/>
          <w:kern w:val="1"/>
          <w:sz w:val="32"/>
          <w:szCs w:val="32"/>
          <w:lang w:eastAsia="zh-CN"/>
        </w:rPr>
        <w:t>严格落实矿产资源全程保护与高效利用要求，主要矿山“三率”水平达标率稳定在 85% 以上，共伴生矿产、难利用矿产及尾矿、煤矸石等废弃物综合利用水平大幅提高，资源利用方式向精细化、高效化、循环化加快转变。</w:t>
      </w:r>
    </w:p>
    <w:p w14:paraId="28EAEB3D">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highlight w:val="none"/>
          <w:lang w:eastAsia="zh-CN"/>
        </w:rPr>
      </w:pPr>
      <w:r>
        <w:rPr>
          <w:rFonts w:hint="eastAsia" w:ascii="Times New Roman" w:hAnsi="Times New Roman" w:eastAsia="仿宋" w:cs="仿宋"/>
          <w:b/>
          <w:bCs/>
          <w:smallCaps w:val="0"/>
          <w:snapToGrid/>
          <w:color w:val="auto"/>
          <w:kern w:val="1"/>
          <w:sz w:val="32"/>
          <w:szCs w:val="32"/>
          <w:highlight w:val="none"/>
          <w:lang w:eastAsia="zh-CN"/>
        </w:rPr>
        <w:t>矿山生态保护修复成效持续巩固。</w:t>
      </w:r>
      <w:r>
        <w:rPr>
          <w:rFonts w:hint="eastAsia" w:ascii="Times New Roman" w:hAnsi="Times New Roman" w:eastAsia="仿宋" w:cs="仿宋"/>
          <w:smallCaps w:val="0"/>
          <w:snapToGrid/>
          <w:color w:val="auto"/>
          <w:kern w:val="1"/>
          <w:sz w:val="32"/>
          <w:szCs w:val="32"/>
          <w:highlight w:val="none"/>
          <w:lang w:eastAsia="zh-CN"/>
        </w:rPr>
        <w:t>有序推进历史遗留废弃矿山生态修复，实现具备治理条件图斑应治尽治、应销尽销。全面推行矿山生态修复全生命周期管理，将生态保护修复要求纳入矿业权出让、登记、开采、闭坑全过程，严格压实企业主体责任，坚决落实 “谁破坏、谁治理”，矿山生态环境质量持续改善。</w:t>
      </w:r>
    </w:p>
    <w:p w14:paraId="64EB133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b/>
          <w:bCs/>
          <w:smallCaps w:val="0"/>
          <w:snapToGrid/>
          <w:color w:val="auto"/>
          <w:kern w:val="1"/>
          <w:sz w:val="32"/>
          <w:szCs w:val="32"/>
          <w:lang w:eastAsia="zh-CN"/>
        </w:rPr>
        <w:t>矿产资源管理体系更加完善高效。</w:t>
      </w:r>
      <w:r>
        <w:rPr>
          <w:rFonts w:hint="eastAsia" w:ascii="Times New Roman" w:hAnsi="Times New Roman" w:eastAsia="仿宋" w:cs="仿宋"/>
          <w:smallCaps w:val="0"/>
          <w:snapToGrid/>
          <w:color w:val="auto"/>
          <w:kern w:val="1"/>
          <w:sz w:val="32"/>
          <w:szCs w:val="32"/>
          <w:lang w:eastAsia="zh-CN"/>
        </w:rPr>
        <w:t>纵深推进矿产资源领域改革创新，在市场化配置、矿业权出让收益管理、资源节约集约利用、矿山生态环境治理等方面取得实质性进展；矿政管理法治化、精细化、数字化水平显著提升，勘查开发秩序更加规范，监管效能全面增强。</w:t>
      </w:r>
    </w:p>
    <w:p w14:paraId="0E6C837A">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13" w:name="_Toc4845"/>
      <w:r>
        <w:rPr>
          <w:rFonts w:hint="eastAsia" w:ascii="黑体" w:hAnsi="黑体" w:eastAsia="黑体" w:cs="黑体"/>
          <w:b w:val="0"/>
          <w:bCs w:val="0"/>
          <w:smallCaps w:val="0"/>
          <w:color w:val="auto"/>
          <w:sz w:val="32"/>
          <w:szCs w:val="32"/>
          <w:lang w:val="en-US" w:eastAsia="zh-CN"/>
        </w:rPr>
        <w:t>二、2035年展望目标</w:t>
      </w:r>
      <w:bookmarkEnd w:id="13"/>
    </w:p>
    <w:p w14:paraId="30B215F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pPr>
      <w:r>
        <w:rPr>
          <w:rFonts w:hint="eastAsia" w:ascii="Times New Roman" w:hAnsi="Times New Roman" w:eastAsia="仿宋" w:cs="仿宋"/>
          <w:smallCaps w:val="0"/>
          <w:snapToGrid/>
          <w:color w:val="auto"/>
          <w:kern w:val="1"/>
          <w:sz w:val="32"/>
          <w:szCs w:val="32"/>
          <w:lang w:eastAsia="zh-CN"/>
        </w:rPr>
        <w:t>地质工作支撑经济社会发展与生态文明建设的能力全面提升，矿产资源开发利用规模化、集约化、智能化水平达到新高度，矿业集聚发展效应与规模效益充分显现；大中型智慧矿山基本建成，资源全面节约、循环高效、绿色低碳的开发利用模式全面形成。现代矿产资源治理体系更加成熟定型，治理能力现代化水平显著提升，矿业高质量发展与黄河流域生态保护和高质量发展先行区示范市建设高度协同、深度融合。</w:t>
      </w:r>
    </w:p>
    <w:p w14:paraId="00A51BA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 w:cs="仿宋"/>
          <w:smallCaps w:val="0"/>
          <w:snapToGrid/>
          <w:color w:val="auto"/>
          <w:kern w:val="1"/>
          <w:sz w:val="32"/>
          <w:szCs w:val="32"/>
          <w:lang w:eastAsia="zh-CN"/>
        </w:rPr>
        <w:sectPr>
          <w:pgSz w:w="11907" w:h="16839"/>
          <w:pgMar w:top="1440" w:right="1800" w:bottom="1440" w:left="1800" w:header="941" w:footer="945" w:gutter="0"/>
          <w:pgNumType w:fmt="decimal"/>
          <w:cols w:space="720" w:num="1"/>
        </w:sectPr>
      </w:pPr>
    </w:p>
    <w:p w14:paraId="3C24ABED">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jc w:val="center"/>
        <w:textAlignment w:val="auto"/>
        <w:rPr>
          <w:rFonts w:hint="eastAsia" w:ascii="黑体" w:hAnsi="黑体" w:eastAsia="黑体" w:cs="黑体"/>
          <w:b w:val="0"/>
          <w:bCs w:val="0"/>
          <w:snapToGrid/>
          <w:color w:val="000000" w:themeColor="text1"/>
          <w:kern w:val="1"/>
          <w:sz w:val="36"/>
          <w:szCs w:val="36"/>
          <w:lang w:val="en-US" w:eastAsia="zh-CN"/>
          <w14:textFill>
            <w14:solidFill>
              <w14:schemeClr w14:val="tx1"/>
            </w14:solidFill>
          </w14:textFill>
        </w:rPr>
      </w:pPr>
      <w:bookmarkStart w:id="14" w:name="_Toc26987"/>
      <w:r>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t>第四章   矿产勘查开发与保护布局</w:t>
      </w:r>
      <w:bookmarkEnd w:id="14"/>
    </w:p>
    <w:p w14:paraId="358DC84D">
      <w:pPr>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firstLine="672" w:firstLineChars="200"/>
        <w:jc w:val="both"/>
        <w:textAlignment w:val="baseline"/>
        <w:outlineLvl w:val="9"/>
        <w:rPr>
          <w:rFonts w:hint="eastAsia" w:ascii="Times New Roman" w:hAnsi="Times New Roman" w:eastAsia="仿宋" w:cs="仿宋"/>
          <w:b w:val="0"/>
          <w:bCs w:val="0"/>
          <w:smallCaps w:val="0"/>
          <w:snapToGrid w:val="0"/>
          <w:color w:val="auto"/>
          <w:spacing w:val="8"/>
          <w:kern w:val="0"/>
          <w:sz w:val="32"/>
          <w:szCs w:val="32"/>
          <w:lang w:val="en-US" w:eastAsia="zh-CN" w:bidi="ar-SA"/>
        </w:rPr>
      </w:pPr>
      <w:r>
        <w:rPr>
          <w:rFonts w:hint="eastAsia" w:ascii="Times New Roman" w:hAnsi="Times New Roman" w:eastAsia="仿宋" w:cs="仿宋"/>
          <w:b w:val="0"/>
          <w:bCs w:val="0"/>
          <w:smallCaps w:val="0"/>
          <w:snapToGrid w:val="0"/>
          <w:color w:val="auto"/>
          <w:spacing w:val="8"/>
          <w:kern w:val="0"/>
          <w:sz w:val="32"/>
          <w:szCs w:val="32"/>
          <w:lang w:val="en-US" w:eastAsia="zh-CN" w:bidi="ar-SA"/>
        </w:rPr>
        <w:t>贯彻落实自治区决策部署，紧扣黄河流域生态保护和高质量发展先行区示范市建设要求，深化北部矿业绿色发展提升区建设，充分发挥示范引领作用，推动生态保护修复示范区与经济转型发展创新区协同建设。坚持生态优先、绿色发展导向，统筹矿产资源禀赋、区域功能定位与产业发展需求，构建节约资源、保护环境、安全高效的矿产资源空间开发格局。</w:t>
      </w:r>
    </w:p>
    <w:p w14:paraId="05FAF688">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15" w:name="_Toc24746"/>
      <w:r>
        <w:rPr>
          <w:rFonts w:hint="eastAsia" w:ascii="黑体" w:hAnsi="黑体" w:eastAsia="黑体" w:cs="黑体"/>
          <w:b w:val="0"/>
          <w:bCs w:val="0"/>
          <w:smallCaps w:val="0"/>
          <w:color w:val="auto"/>
          <w:sz w:val="32"/>
          <w:szCs w:val="32"/>
          <w:lang w:val="en-US" w:eastAsia="zh-CN"/>
        </w:rPr>
        <w:t>一、矿产资源勘查开采优化方向</w:t>
      </w:r>
      <w:bookmarkEnd w:id="15"/>
    </w:p>
    <w:p w14:paraId="39E06E85">
      <w:pPr>
        <w:keepNext w:val="0"/>
        <w:keepLines w:val="0"/>
        <w:pageBreakBefore w:val="0"/>
        <w:widowControl w:val="0"/>
        <w:kinsoku/>
        <w:wordWrap/>
        <w:overflowPunct/>
        <w:topLinePunct w:val="0"/>
        <w:autoSpaceDE w:val="0"/>
        <w:autoSpaceDN w:val="0"/>
        <w:bidi w:val="0"/>
        <w:adjustRightInd w:val="0"/>
        <w:snapToGrid w:val="0"/>
        <w:spacing w:line="600" w:lineRule="exact"/>
        <w:ind w:firstLine="672" w:firstLineChars="200"/>
        <w:jc w:val="both"/>
        <w:textAlignment w:val="baseline"/>
        <w:rPr>
          <w:rFonts w:hint="eastAsia" w:ascii="Times New Roman" w:hAnsi="Times New Roman" w:eastAsia="仿宋" w:cs="仿宋"/>
          <w:smallCaps w:val="0"/>
          <w:color w:val="auto"/>
          <w:spacing w:val="8"/>
          <w:sz w:val="32"/>
          <w:szCs w:val="32"/>
        </w:rPr>
      </w:pPr>
      <w:r>
        <w:rPr>
          <w:rFonts w:hint="eastAsia" w:ascii="Times New Roman" w:hAnsi="Times New Roman" w:eastAsia="仿宋" w:cs="仿宋"/>
          <w:smallCaps w:val="0"/>
          <w:color w:val="auto"/>
          <w:spacing w:val="8"/>
          <w:sz w:val="32"/>
          <w:szCs w:val="32"/>
        </w:rPr>
        <w:t>全面</w:t>
      </w:r>
      <w:r>
        <w:rPr>
          <w:rFonts w:hint="eastAsia" w:ascii="Times New Roman" w:hAnsi="Times New Roman" w:eastAsia="仿宋" w:cs="仿宋"/>
          <w:smallCaps w:val="0"/>
          <w:color w:val="auto"/>
          <w:spacing w:val="8"/>
          <w:sz w:val="32"/>
          <w:szCs w:val="32"/>
          <w:lang w:val="en-US" w:eastAsia="zh-CN"/>
        </w:rPr>
        <w:t>衔接</w:t>
      </w:r>
      <w:r>
        <w:rPr>
          <w:rFonts w:hint="eastAsia" w:ascii="Times New Roman" w:hAnsi="Times New Roman" w:eastAsia="仿宋" w:cs="仿宋"/>
          <w:smallCaps w:val="0"/>
          <w:color w:val="auto"/>
          <w:spacing w:val="8"/>
          <w:sz w:val="32"/>
          <w:szCs w:val="32"/>
        </w:rPr>
        <w:t>《宁夏回族自治区矿产资源规划（202</w:t>
      </w:r>
      <w:r>
        <w:rPr>
          <w:rFonts w:hint="eastAsia" w:ascii="Times New Roman" w:hAnsi="Times New Roman" w:eastAsia="仿宋" w:cs="仿宋"/>
          <w:smallCaps w:val="0"/>
          <w:color w:val="auto"/>
          <w:spacing w:val="8"/>
          <w:sz w:val="32"/>
          <w:szCs w:val="32"/>
          <w:lang w:val="en-US" w:eastAsia="zh-CN"/>
        </w:rPr>
        <w:t>6</w:t>
      </w:r>
      <w:r>
        <w:rPr>
          <w:rFonts w:hint="eastAsia" w:ascii="Times New Roman" w:hAnsi="Times New Roman" w:eastAsia="仿宋" w:cs="仿宋"/>
          <w:smallCaps w:val="0"/>
          <w:color w:val="auto"/>
          <w:spacing w:val="8"/>
          <w:sz w:val="32"/>
          <w:szCs w:val="32"/>
        </w:rPr>
        <w:t>-20</w:t>
      </w:r>
      <w:r>
        <w:rPr>
          <w:rFonts w:hint="eastAsia" w:ascii="Times New Roman" w:hAnsi="Times New Roman" w:eastAsia="仿宋" w:cs="仿宋"/>
          <w:smallCaps w:val="0"/>
          <w:color w:val="auto"/>
          <w:spacing w:val="8"/>
          <w:sz w:val="32"/>
          <w:szCs w:val="32"/>
          <w:lang w:val="en-US" w:eastAsia="zh-CN"/>
        </w:rPr>
        <w:t>30</w:t>
      </w:r>
      <w:r>
        <w:rPr>
          <w:rFonts w:hint="eastAsia" w:ascii="Times New Roman" w:hAnsi="Times New Roman" w:eastAsia="仿宋" w:cs="仿宋"/>
          <w:smallCaps w:val="0"/>
          <w:color w:val="auto"/>
          <w:spacing w:val="8"/>
          <w:sz w:val="32"/>
          <w:szCs w:val="32"/>
        </w:rPr>
        <w:t>年）》总体布局，</w:t>
      </w:r>
      <w:r>
        <w:rPr>
          <w:rFonts w:hint="eastAsia" w:ascii="Times New Roman" w:hAnsi="Times New Roman" w:eastAsia="仿宋" w:cs="仿宋"/>
          <w:smallCaps w:val="0"/>
          <w:color w:val="auto"/>
          <w:spacing w:val="8"/>
          <w:sz w:val="32"/>
          <w:szCs w:val="32"/>
          <w:lang w:val="en-US" w:eastAsia="zh-CN"/>
        </w:rPr>
        <w:t>聚焦</w:t>
      </w:r>
      <w:r>
        <w:rPr>
          <w:rFonts w:hint="eastAsia" w:ascii="Times New Roman" w:hAnsi="Times New Roman" w:eastAsia="仿宋" w:cs="仿宋"/>
          <w:smallCaps w:val="0"/>
          <w:color w:val="auto"/>
          <w:spacing w:val="8"/>
          <w:sz w:val="32"/>
          <w:szCs w:val="32"/>
        </w:rPr>
        <w:t>战略性矿产、重要矿产等，统筹部署</w:t>
      </w:r>
      <w:r>
        <w:rPr>
          <w:rFonts w:hint="eastAsia" w:ascii="Times New Roman" w:hAnsi="Times New Roman" w:eastAsia="仿宋" w:cs="仿宋"/>
          <w:smallCaps w:val="0"/>
          <w:color w:val="auto"/>
          <w:spacing w:val="8"/>
          <w:sz w:val="32"/>
          <w:szCs w:val="32"/>
          <w:lang w:val="en-US" w:eastAsia="zh-CN"/>
        </w:rPr>
        <w:t>矿产资源</w:t>
      </w:r>
      <w:r>
        <w:rPr>
          <w:rFonts w:hint="eastAsia" w:ascii="Times New Roman" w:hAnsi="Times New Roman" w:eastAsia="仿宋" w:cs="仿宋"/>
          <w:smallCaps w:val="0"/>
          <w:color w:val="auto"/>
          <w:spacing w:val="8"/>
          <w:sz w:val="32"/>
          <w:szCs w:val="32"/>
        </w:rPr>
        <w:t>调查评价与勘查工作。实施差别化勘查开发</w:t>
      </w:r>
      <w:r>
        <w:rPr>
          <w:rFonts w:hint="eastAsia" w:ascii="Times New Roman" w:hAnsi="Times New Roman" w:eastAsia="仿宋" w:cs="仿宋"/>
          <w:smallCaps w:val="0"/>
          <w:color w:val="auto"/>
          <w:spacing w:val="8"/>
          <w:sz w:val="32"/>
          <w:szCs w:val="32"/>
          <w:lang w:val="en-US" w:eastAsia="zh-CN"/>
        </w:rPr>
        <w:t>管控</w:t>
      </w:r>
      <w:r>
        <w:rPr>
          <w:rFonts w:hint="eastAsia" w:ascii="Times New Roman" w:hAnsi="Times New Roman" w:eastAsia="仿宋" w:cs="仿宋"/>
          <w:smallCaps w:val="0"/>
          <w:color w:val="auto"/>
          <w:spacing w:val="8"/>
          <w:sz w:val="32"/>
          <w:szCs w:val="32"/>
        </w:rPr>
        <w:t>，推动资源开发与生态保护、产业发展精准匹配。</w:t>
      </w:r>
    </w:p>
    <w:p w14:paraId="03C88B54">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Times New Roman" w:hAnsi="Times New Roman" w:eastAsia="仿宋" w:cs="仿宋"/>
          <w:smallCaps w:val="0"/>
          <w:color w:val="auto"/>
          <w:spacing w:val="8"/>
          <w:sz w:val="32"/>
          <w:szCs w:val="32"/>
        </w:rPr>
      </w:pPr>
      <w:r>
        <w:rPr>
          <w:rFonts w:hint="eastAsia" w:ascii="楷体" w:hAnsi="楷体" w:eastAsia="楷体" w:cs="楷体"/>
          <w:b/>
          <w:bCs w:val="0"/>
          <w:smallCaps w:val="0"/>
          <w:snapToGrid/>
          <w:color w:val="auto"/>
          <w:kern w:val="2"/>
          <w:sz w:val="32"/>
          <w:szCs w:val="32"/>
          <w:lang w:val="en-US" w:eastAsia="zh-CN" w:bidi="ar-SA"/>
        </w:rPr>
        <w:t>重点勘查开发类：</w:t>
      </w:r>
      <w:r>
        <w:rPr>
          <w:rFonts w:hint="eastAsia" w:ascii="Times New Roman" w:hAnsi="Times New Roman" w:eastAsia="仿宋" w:cs="仿宋"/>
          <w:smallCaps w:val="0"/>
          <w:color w:val="auto"/>
          <w:spacing w:val="8"/>
          <w:sz w:val="32"/>
          <w:szCs w:val="32"/>
        </w:rPr>
        <w:t>以煤炭、地热为重点勘查开发矿种，加大各级财政资金投入力度，积极引导社会多元资本参与勘查工作，在符合生态保护、安全生产等开采准入条件的前提下，优先设置采矿权，强化能源资源安全保障。</w:t>
      </w:r>
    </w:p>
    <w:p w14:paraId="3C4C089B">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Times New Roman" w:hAnsi="Times New Roman" w:eastAsia="仿宋" w:cs="仿宋"/>
          <w:smallCaps w:val="0"/>
          <w:color w:val="auto"/>
          <w:spacing w:val="8"/>
          <w:sz w:val="32"/>
          <w:szCs w:val="32"/>
        </w:rPr>
      </w:pPr>
      <w:r>
        <w:rPr>
          <w:rFonts w:hint="eastAsia" w:ascii="楷体" w:hAnsi="楷体" w:eastAsia="楷体" w:cs="楷体"/>
          <w:b/>
          <w:bCs w:val="0"/>
          <w:smallCaps w:val="0"/>
          <w:snapToGrid/>
          <w:color w:val="auto"/>
          <w:kern w:val="2"/>
          <w:sz w:val="32"/>
          <w:szCs w:val="32"/>
          <w:lang w:val="en-US" w:eastAsia="zh-CN" w:bidi="ar-SA"/>
        </w:rPr>
        <w:t>有序保障类：</w:t>
      </w:r>
      <w:r>
        <w:rPr>
          <w:rFonts w:hint="eastAsia" w:ascii="Times New Roman" w:hAnsi="Times New Roman" w:eastAsia="仿宋" w:cs="仿宋"/>
          <w:smallCaps w:val="0"/>
          <w:color w:val="auto"/>
          <w:spacing w:val="8"/>
          <w:sz w:val="32"/>
          <w:szCs w:val="32"/>
        </w:rPr>
        <w:t>兼顾建筑石料、建筑用砂等建材类矿产，结合银川市基础设施建设需求，科学有序投放采矿权，合理调控开采规模，保障区域建设用建材资源稳定供应，破解结构性、区域性供需失衡问题。</w:t>
      </w:r>
    </w:p>
    <w:p w14:paraId="4EFC2FBE">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Times New Roman" w:hAnsi="Times New Roman" w:eastAsia="仿宋" w:cs="仿宋"/>
          <w:smallCaps w:val="0"/>
          <w:color w:val="auto"/>
          <w:spacing w:val="8"/>
          <w:sz w:val="32"/>
          <w:szCs w:val="32"/>
        </w:rPr>
      </w:pPr>
      <w:r>
        <w:rPr>
          <w:rFonts w:hint="eastAsia" w:ascii="楷体" w:hAnsi="楷体" w:eastAsia="楷体" w:cs="楷体"/>
          <w:b/>
          <w:bCs w:val="0"/>
          <w:smallCaps w:val="0"/>
          <w:snapToGrid/>
          <w:color w:val="auto"/>
          <w:kern w:val="2"/>
          <w:sz w:val="32"/>
          <w:szCs w:val="32"/>
          <w:lang w:val="en-US" w:eastAsia="zh-CN" w:bidi="ar-SA"/>
        </w:rPr>
        <w:t>限制开采类：</w:t>
      </w:r>
      <w:r>
        <w:rPr>
          <w:rFonts w:hint="eastAsia" w:ascii="Times New Roman" w:hAnsi="Times New Roman" w:eastAsia="仿宋" w:cs="仿宋"/>
          <w:smallCaps w:val="0"/>
          <w:color w:val="auto"/>
          <w:spacing w:val="8"/>
          <w:sz w:val="32"/>
          <w:szCs w:val="32"/>
        </w:rPr>
        <w:t>严格限制开采国家及自治区产业政策管控、市场供过于求、开采过程中对生态环境影响较大的矿产资源，从严管控开采规模与开发方式，推动矿业转型升级。</w:t>
      </w:r>
    </w:p>
    <w:p w14:paraId="5C845120">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 w:cs="仿宋"/>
          <w:smallCaps w:val="0"/>
          <w:color w:val="auto"/>
          <w:spacing w:val="8"/>
          <w:sz w:val="32"/>
          <w:szCs w:val="32"/>
          <w:lang w:val="en-US" w:eastAsia="zh-CN"/>
        </w:rPr>
      </w:pPr>
      <w:r>
        <w:rPr>
          <w:rFonts w:hint="eastAsia" w:ascii="楷体" w:hAnsi="楷体" w:eastAsia="楷体" w:cs="楷体"/>
          <w:b/>
          <w:bCs w:val="0"/>
          <w:smallCaps w:val="0"/>
          <w:snapToGrid/>
          <w:color w:val="auto"/>
          <w:kern w:val="2"/>
          <w:sz w:val="32"/>
          <w:szCs w:val="32"/>
          <w:lang w:val="en-US" w:eastAsia="zh-CN" w:bidi="ar-SA"/>
        </w:rPr>
        <w:t>禁止开采类：</w:t>
      </w:r>
      <w:r>
        <w:rPr>
          <w:rFonts w:hint="eastAsia" w:ascii="Times New Roman" w:hAnsi="Times New Roman" w:eastAsia="仿宋" w:cs="仿宋"/>
          <w:smallCaps w:val="0"/>
          <w:color w:val="auto"/>
          <w:spacing w:val="8"/>
          <w:sz w:val="32"/>
          <w:szCs w:val="32"/>
        </w:rPr>
        <w:t>永久基本农田、生态保护红线、自然保护地、饮用水水源保护区、文物保护区等重点保护区域内，全面禁止开采各类矿产资源；严禁开采可耕地范围内的砖瓦用</w:t>
      </w:r>
      <w:r>
        <w:rPr>
          <w:rFonts w:hint="eastAsia" w:ascii="Times New Roman" w:hAnsi="Times New Roman" w:eastAsia="仿宋" w:cs="仿宋"/>
          <w:smallCaps w:val="0"/>
          <w:color w:val="auto"/>
          <w:spacing w:val="8"/>
          <w:sz w:val="32"/>
          <w:szCs w:val="32"/>
          <w:lang w:val="en-US" w:eastAsia="zh-CN"/>
        </w:rPr>
        <w:t>粘</w:t>
      </w:r>
      <w:r>
        <w:rPr>
          <w:rFonts w:hint="eastAsia" w:ascii="Times New Roman" w:hAnsi="Times New Roman" w:eastAsia="仿宋" w:cs="仿宋"/>
          <w:smallCaps w:val="0"/>
          <w:color w:val="auto"/>
          <w:spacing w:val="8"/>
          <w:sz w:val="32"/>
          <w:szCs w:val="32"/>
        </w:rPr>
        <w:t>土，切实守住生态保护与耕地保护底线。</w:t>
      </w:r>
    </w:p>
    <w:p w14:paraId="74651482">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16" w:name="_Toc25333"/>
      <w:r>
        <w:rPr>
          <w:rFonts w:hint="eastAsia" w:ascii="黑体" w:hAnsi="黑体" w:eastAsia="黑体" w:cs="黑体"/>
          <w:b w:val="0"/>
          <w:bCs w:val="0"/>
          <w:smallCaps w:val="0"/>
          <w:color w:val="auto"/>
          <w:sz w:val="32"/>
          <w:szCs w:val="32"/>
          <w:lang w:val="en-US" w:eastAsia="zh-CN"/>
        </w:rPr>
        <w:t>二、矿产资源产业重点发展区域</w:t>
      </w:r>
      <w:bookmarkEnd w:id="16"/>
    </w:p>
    <w:p w14:paraId="146A0350">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（一）矿产资源调查评价</w:t>
      </w:r>
    </w:p>
    <w:p w14:paraId="2E5D7A92">
      <w:pPr>
        <w:keepNext w:val="0"/>
        <w:keepLines w:val="0"/>
        <w:pageBreakBefore w:val="0"/>
        <w:widowControl w:val="0"/>
        <w:kinsoku/>
        <w:wordWrap/>
        <w:overflowPunct/>
        <w:topLinePunct w:val="0"/>
        <w:autoSpaceDE w:val="0"/>
        <w:autoSpaceDN w:val="0"/>
        <w:bidi w:val="0"/>
        <w:adjustRightInd w:val="0"/>
        <w:snapToGrid w:val="0"/>
        <w:spacing w:line="600" w:lineRule="exact"/>
        <w:ind w:firstLine="672" w:firstLineChars="200"/>
        <w:jc w:val="both"/>
        <w:textAlignment w:val="baseline"/>
        <w:rPr>
          <w:rFonts w:hint="default" w:ascii="Times New Roman" w:hAnsi="Times New Roman" w:eastAsia="仿宋" w:cs="仿宋"/>
          <w:smallCaps w:val="0"/>
          <w:color w:val="auto"/>
          <w:spacing w:val="8"/>
          <w:sz w:val="32"/>
          <w:szCs w:val="32"/>
          <w:lang w:val="en-US" w:eastAsia="zh-CN"/>
        </w:rPr>
      </w:pPr>
      <w:r>
        <w:rPr>
          <w:rFonts w:hint="eastAsia" w:ascii="Times New Roman" w:hAnsi="Times New Roman" w:eastAsia="仿宋" w:cs="仿宋"/>
          <w:smallCaps w:val="0"/>
          <w:color w:val="auto"/>
          <w:spacing w:val="8"/>
          <w:sz w:val="32"/>
          <w:szCs w:val="32"/>
          <w:lang w:val="en-US" w:eastAsia="zh-CN"/>
        </w:rPr>
        <w:t>实施地热资源调查评价项目1个，提升地热资源勘查评价精度，为后续开发利用提供科学地质依据。</w:t>
      </w:r>
    </w:p>
    <w:p w14:paraId="37718624">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（二）矿产资源勘查开发</w:t>
      </w:r>
    </w:p>
    <w:p w14:paraId="4926D8B3">
      <w:pPr>
        <w:keepNext w:val="0"/>
        <w:keepLines w:val="0"/>
        <w:pageBreakBefore w:val="0"/>
        <w:widowControl w:val="0"/>
        <w:kinsoku/>
        <w:wordWrap/>
        <w:overflowPunct/>
        <w:topLinePunct w:val="0"/>
        <w:autoSpaceDE w:val="0"/>
        <w:autoSpaceDN w:val="0"/>
        <w:bidi w:val="0"/>
        <w:adjustRightInd w:val="0"/>
        <w:snapToGrid w:val="0"/>
        <w:spacing w:line="600" w:lineRule="exact"/>
        <w:ind w:firstLine="675" w:firstLineChars="200"/>
        <w:jc w:val="both"/>
        <w:textAlignment w:val="baseline"/>
        <w:rPr>
          <w:rFonts w:hint="eastAsia" w:ascii="Times New Roman" w:hAnsi="Times New Roman" w:eastAsia="仿宋" w:cs="仿宋"/>
          <w:smallCaps w:val="0"/>
          <w:color w:val="auto"/>
          <w:spacing w:val="8"/>
          <w:sz w:val="32"/>
          <w:szCs w:val="32"/>
          <w:lang w:eastAsia="zh-CN"/>
        </w:rPr>
      </w:pPr>
      <w:r>
        <w:rPr>
          <w:rFonts w:hint="eastAsia" w:ascii="Times New Roman" w:hAnsi="Times New Roman" w:eastAsia="仿宋" w:cs="仿宋"/>
          <w:b/>
          <w:bCs/>
          <w:smallCaps w:val="0"/>
          <w:color w:val="auto"/>
          <w:spacing w:val="8"/>
          <w:sz w:val="32"/>
          <w:szCs w:val="32"/>
          <w:lang w:val="en-US" w:eastAsia="zh-CN"/>
        </w:rPr>
        <w:t>煤炭资源开发核心区：</w:t>
      </w:r>
      <w:r>
        <w:rPr>
          <w:rFonts w:hint="eastAsia" w:ascii="Times New Roman" w:hAnsi="Times New Roman" w:eastAsia="仿宋" w:cs="仿宋"/>
          <w:smallCaps w:val="0"/>
          <w:color w:val="auto"/>
          <w:spacing w:val="8"/>
          <w:sz w:val="32"/>
          <w:szCs w:val="32"/>
        </w:rPr>
        <w:t>加快红墩子矿区、鸳鸯湖矿区、积家井矿区、马家滩矿区（</w:t>
      </w:r>
      <w:r>
        <w:rPr>
          <w:rFonts w:hint="eastAsia" w:ascii="Times New Roman" w:hAnsi="Times New Roman" w:eastAsia="仿宋" w:cs="仿宋"/>
          <w:smallCaps w:val="0"/>
          <w:color w:val="auto"/>
          <w:spacing w:val="8"/>
          <w:sz w:val="32"/>
          <w:szCs w:val="32"/>
          <w:lang w:val="en-US" w:eastAsia="zh-CN"/>
        </w:rPr>
        <w:t>4</w:t>
      </w:r>
      <w:r>
        <w:rPr>
          <w:rFonts w:hint="eastAsia" w:ascii="Times New Roman" w:hAnsi="Times New Roman" w:eastAsia="仿宋" w:cs="仿宋"/>
          <w:smallCaps w:val="0"/>
          <w:color w:val="auto"/>
          <w:spacing w:val="8"/>
          <w:sz w:val="32"/>
          <w:szCs w:val="32"/>
        </w:rPr>
        <w:t>个国家规划矿区）稳产达产与绿色智能化升级，稳定提升宁东能源化工基地煤炭供应能力，保障煤电、煤化工产业链供应链安全稳定</w:t>
      </w:r>
      <w:r>
        <w:rPr>
          <w:rFonts w:hint="eastAsia" w:ascii="Times New Roman" w:hAnsi="Times New Roman" w:eastAsia="仿宋" w:cs="仿宋"/>
          <w:smallCaps w:val="0"/>
          <w:color w:val="auto"/>
          <w:spacing w:val="8"/>
          <w:sz w:val="32"/>
          <w:szCs w:val="32"/>
          <w:lang w:eastAsia="zh-CN"/>
        </w:rPr>
        <w:t>。</w:t>
      </w:r>
      <w:r>
        <w:rPr>
          <w:rFonts w:hint="eastAsia" w:ascii="Times New Roman" w:hAnsi="Times New Roman" w:eastAsia="仿宋" w:cs="仿宋"/>
          <w:smallCaps w:val="0"/>
          <w:color w:val="auto"/>
          <w:spacing w:val="8"/>
          <w:sz w:val="32"/>
          <w:szCs w:val="32"/>
        </w:rPr>
        <w:t>深入推进煤炭高效绿色开发利用，高水平建设国家级煤化工、新材料、清洁能源产业示范基地</w:t>
      </w:r>
      <w:r>
        <w:rPr>
          <w:rFonts w:hint="eastAsia" w:ascii="Times New Roman" w:hAnsi="Times New Roman" w:eastAsia="仿宋" w:cs="仿宋"/>
          <w:smallCaps w:val="0"/>
          <w:color w:val="auto"/>
          <w:spacing w:val="8"/>
          <w:sz w:val="32"/>
          <w:szCs w:val="32"/>
          <w:lang w:eastAsia="zh-CN"/>
        </w:rPr>
        <w:t>，推动煤炭产业向精细化、高端化、绿色化转型。</w:t>
      </w:r>
    </w:p>
    <w:p w14:paraId="6D499760">
      <w:pPr>
        <w:keepNext w:val="0"/>
        <w:keepLines w:val="0"/>
        <w:pageBreakBefore w:val="0"/>
        <w:widowControl w:val="0"/>
        <w:kinsoku/>
        <w:wordWrap/>
        <w:overflowPunct/>
        <w:topLinePunct w:val="0"/>
        <w:autoSpaceDE w:val="0"/>
        <w:autoSpaceDN w:val="0"/>
        <w:bidi w:val="0"/>
        <w:adjustRightInd w:val="0"/>
        <w:snapToGrid w:val="0"/>
        <w:spacing w:line="600" w:lineRule="exact"/>
        <w:ind w:firstLine="675" w:firstLineChars="200"/>
        <w:jc w:val="both"/>
        <w:textAlignment w:val="baseline"/>
        <w:rPr>
          <w:rFonts w:hint="eastAsia" w:ascii="Times New Roman" w:hAnsi="Times New Roman" w:eastAsia="仿宋" w:cs="仿宋"/>
          <w:smallCaps w:val="0"/>
          <w:color w:val="auto"/>
          <w:spacing w:val="8"/>
          <w:sz w:val="32"/>
          <w:szCs w:val="32"/>
          <w:lang w:eastAsia="zh-CN"/>
        </w:rPr>
      </w:pPr>
      <w:r>
        <w:rPr>
          <w:rFonts w:hint="eastAsia" w:ascii="Times New Roman" w:hAnsi="Times New Roman" w:eastAsia="仿宋" w:cs="仿宋"/>
          <w:b/>
          <w:bCs/>
          <w:smallCaps w:val="0"/>
          <w:color w:val="auto"/>
          <w:spacing w:val="8"/>
          <w:sz w:val="32"/>
          <w:szCs w:val="32"/>
          <w:lang w:val="en-US" w:eastAsia="zh-CN"/>
        </w:rPr>
        <w:t>矿山生态修复重点区：</w:t>
      </w:r>
      <w:r>
        <w:rPr>
          <w:rFonts w:hint="eastAsia" w:ascii="Times New Roman" w:hAnsi="Times New Roman" w:eastAsia="仿宋" w:cs="仿宋"/>
          <w:smallCaps w:val="0"/>
          <w:color w:val="auto"/>
          <w:spacing w:val="8"/>
          <w:sz w:val="32"/>
          <w:szCs w:val="32"/>
        </w:rPr>
        <w:t>加强贺兰山自然保护区外围矿山生态修复工作，压实矿山企业“边开采、边修复”主体责任，对责任主体灭失的露天矿山，按照“谁治理、谁受益”的原则，通过“政府主导、政策支持、社会参与”的模式，加快历史遗留矿山生态修复进度</w:t>
      </w:r>
      <w:r>
        <w:rPr>
          <w:rFonts w:hint="eastAsia" w:ascii="Times New Roman" w:hAnsi="Times New Roman" w:eastAsia="仿宋" w:cs="仿宋"/>
          <w:smallCaps w:val="0"/>
          <w:color w:val="auto"/>
          <w:spacing w:val="8"/>
          <w:sz w:val="32"/>
          <w:szCs w:val="32"/>
          <w:lang w:eastAsia="zh-CN"/>
        </w:rPr>
        <w:t>，推进修复图斑应销尽销，持续改善区域生态环境质量。</w:t>
      </w:r>
    </w:p>
    <w:p w14:paraId="7C8A223A">
      <w:pPr>
        <w:keepNext w:val="0"/>
        <w:keepLines w:val="0"/>
        <w:pageBreakBefore w:val="0"/>
        <w:widowControl w:val="0"/>
        <w:kinsoku/>
        <w:wordWrap/>
        <w:overflowPunct/>
        <w:topLinePunct w:val="0"/>
        <w:autoSpaceDE w:val="0"/>
        <w:autoSpaceDN w:val="0"/>
        <w:bidi w:val="0"/>
        <w:adjustRightInd w:val="0"/>
        <w:snapToGrid w:val="0"/>
        <w:spacing w:line="600" w:lineRule="exact"/>
        <w:ind w:firstLine="675" w:firstLineChars="200"/>
        <w:jc w:val="both"/>
        <w:textAlignment w:val="baseline"/>
        <w:rPr>
          <w:rFonts w:hint="eastAsia" w:ascii="Times New Roman" w:hAnsi="Times New Roman" w:eastAsia="仿宋" w:cs="仿宋"/>
          <w:smallCaps w:val="0"/>
          <w:color w:val="auto"/>
          <w:spacing w:val="8"/>
          <w:sz w:val="32"/>
          <w:szCs w:val="32"/>
        </w:rPr>
      </w:pPr>
      <w:r>
        <w:rPr>
          <w:rFonts w:hint="eastAsia" w:ascii="Times New Roman" w:hAnsi="Times New Roman" w:eastAsia="仿宋" w:cs="仿宋"/>
          <w:b/>
          <w:bCs/>
          <w:smallCaps w:val="0"/>
          <w:color w:val="auto"/>
          <w:spacing w:val="8"/>
          <w:sz w:val="32"/>
          <w:szCs w:val="32"/>
        </w:rPr>
        <w:t>地热资源开发利用区：</w:t>
      </w:r>
      <w:r>
        <w:rPr>
          <w:rFonts w:hint="eastAsia" w:ascii="Times New Roman" w:hAnsi="Times New Roman" w:eastAsia="仿宋" w:cs="仿宋"/>
          <w:smallCaps w:val="0"/>
          <w:color w:val="auto"/>
          <w:spacing w:val="8"/>
          <w:sz w:val="32"/>
          <w:szCs w:val="32"/>
        </w:rPr>
        <w:t>大力推进银川盆地地热资源科学开发利用，健全地热勘查、开发、回灌全流程监管制度，规范开发秩序。推动地热资源在供暖、旅游、康养等领域的多元化应用，优化区域能源结构，减少大气污染，助力绿色低碳发展。</w:t>
      </w:r>
    </w:p>
    <w:p w14:paraId="0E9188A0">
      <w:pPr>
        <w:keepNext w:val="0"/>
        <w:keepLines w:val="0"/>
        <w:pageBreakBefore w:val="0"/>
        <w:widowControl w:val="0"/>
        <w:kinsoku/>
        <w:wordWrap/>
        <w:overflowPunct/>
        <w:topLinePunct w:val="0"/>
        <w:autoSpaceDE w:val="0"/>
        <w:autoSpaceDN w:val="0"/>
        <w:bidi w:val="0"/>
        <w:adjustRightInd w:val="0"/>
        <w:snapToGrid w:val="0"/>
        <w:spacing w:line="600" w:lineRule="exact"/>
        <w:ind w:firstLine="675" w:firstLineChars="200"/>
        <w:jc w:val="both"/>
        <w:textAlignment w:val="baseline"/>
        <w:rPr>
          <w:rFonts w:hint="eastAsia" w:ascii="Times New Roman" w:hAnsi="Times New Roman" w:eastAsia="仿宋" w:cs="仿宋"/>
          <w:smallCaps w:val="0"/>
          <w:color w:val="auto"/>
          <w:spacing w:val="8"/>
          <w:sz w:val="32"/>
          <w:szCs w:val="32"/>
        </w:rPr>
      </w:pPr>
      <w:r>
        <w:rPr>
          <w:rFonts w:hint="eastAsia" w:ascii="Times New Roman" w:hAnsi="Times New Roman" w:eastAsia="仿宋" w:cs="仿宋"/>
          <w:b/>
          <w:bCs/>
          <w:smallCaps w:val="0"/>
          <w:color w:val="auto"/>
          <w:spacing w:val="8"/>
          <w:sz w:val="32"/>
          <w:szCs w:val="32"/>
        </w:rPr>
        <w:t>建材类矿产集中开发区：</w:t>
      </w:r>
      <w:r>
        <w:rPr>
          <w:rFonts w:hint="eastAsia" w:ascii="Times New Roman" w:hAnsi="Times New Roman" w:eastAsia="仿宋" w:cs="仿宋"/>
          <w:smallCaps w:val="0"/>
          <w:color w:val="auto"/>
          <w:spacing w:val="8"/>
          <w:sz w:val="32"/>
          <w:szCs w:val="32"/>
        </w:rPr>
        <w:t>统筹勘查开发西夏区套门沟、永宁县沿山农牧区、灵武市宁东镇马跑泉等地建筑用砂资源，以及西夏区套门沟建筑石料资源。合理调控开采总量与空间布局，打造规模化、集约化建材矿产开采区，有效解决区域性、结构性砂石供需失衡问题，保障银川市基础设施建设需求。</w:t>
      </w:r>
    </w:p>
    <w:p w14:paraId="0A47A177">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17" w:name="_Toc23407"/>
      <w:r>
        <w:rPr>
          <w:rFonts w:hint="eastAsia" w:ascii="黑体" w:hAnsi="黑体" w:eastAsia="黑体" w:cs="黑体"/>
          <w:b w:val="0"/>
          <w:bCs w:val="0"/>
          <w:smallCaps w:val="0"/>
          <w:color w:val="auto"/>
          <w:sz w:val="32"/>
          <w:szCs w:val="32"/>
          <w:lang w:val="en-US" w:eastAsia="zh-CN"/>
        </w:rPr>
        <w:t>三、勘查开采与保护规划分区</w:t>
      </w:r>
      <w:bookmarkEnd w:id="17"/>
    </w:p>
    <w:p w14:paraId="7D651B9C">
      <w:pPr>
        <w:keepNext w:val="0"/>
        <w:keepLines w:val="0"/>
        <w:pageBreakBefore w:val="0"/>
        <w:widowControl w:val="0"/>
        <w:kinsoku/>
        <w:wordWrap/>
        <w:overflowPunct/>
        <w:topLinePunct w:val="0"/>
        <w:autoSpaceDE w:val="0"/>
        <w:autoSpaceDN w:val="0"/>
        <w:bidi w:val="0"/>
        <w:adjustRightInd w:val="0"/>
        <w:snapToGrid w:val="0"/>
        <w:spacing w:line="600" w:lineRule="exact"/>
        <w:ind w:firstLine="672" w:firstLineChars="200"/>
        <w:jc w:val="both"/>
        <w:textAlignment w:val="baseline"/>
        <w:rPr>
          <w:rFonts w:hint="eastAsia" w:ascii="Times New Roman" w:hAnsi="Times New Roman" w:eastAsia="仿宋" w:cs="仿宋"/>
          <w:smallCaps w:val="0"/>
          <w:color w:val="auto"/>
          <w:spacing w:val="8"/>
          <w:sz w:val="32"/>
          <w:szCs w:val="32"/>
        </w:rPr>
      </w:pPr>
      <w:r>
        <w:rPr>
          <w:rFonts w:hint="eastAsia" w:ascii="Times New Roman" w:hAnsi="Times New Roman" w:eastAsia="仿宋" w:cs="仿宋"/>
          <w:smallCaps w:val="0"/>
          <w:color w:val="auto"/>
          <w:spacing w:val="8"/>
          <w:sz w:val="32"/>
          <w:szCs w:val="32"/>
        </w:rPr>
        <w:t>落实自治区规划能源资源基地1个，即宁东能源资源基地，开展深部煤炭勘查，扩大新增查明资源储量，保障银川市能源安全，坚持煤炭清洁高效利用，加快煤化工产业转型升级，在生产力布局、基础设施建设、资源配置、重大项目安排及相关产业政策方面给予重点支持和保障，大力推进资源规模开发和产业聚集发展；落实国家规划矿区</w:t>
      </w:r>
      <w:r>
        <w:rPr>
          <w:rFonts w:hint="eastAsia" w:ascii="Times New Roman" w:hAnsi="Times New Roman" w:eastAsia="仿宋" w:cs="仿宋"/>
          <w:smallCaps w:val="0"/>
          <w:color w:val="auto"/>
          <w:spacing w:val="8"/>
          <w:sz w:val="32"/>
          <w:szCs w:val="32"/>
          <w:lang w:val="en-US" w:eastAsia="zh-CN"/>
        </w:rPr>
        <w:t>4</w:t>
      </w:r>
      <w:r>
        <w:rPr>
          <w:rFonts w:hint="eastAsia" w:ascii="Times New Roman" w:hAnsi="Times New Roman" w:eastAsia="仿宋" w:cs="仿宋"/>
          <w:smallCaps w:val="0"/>
          <w:color w:val="auto"/>
          <w:spacing w:val="8"/>
          <w:sz w:val="32"/>
          <w:szCs w:val="32"/>
        </w:rPr>
        <w:t>个，</w:t>
      </w:r>
      <w:r>
        <w:rPr>
          <w:rFonts w:hint="eastAsia" w:ascii="Times New Roman" w:hAnsi="Times New Roman" w:eastAsia="仿宋" w:cs="仿宋"/>
          <w:smallCaps w:val="0"/>
          <w:color w:val="auto"/>
          <w:spacing w:val="8"/>
          <w:sz w:val="32"/>
          <w:szCs w:val="32"/>
          <w:lang w:val="en-US" w:eastAsia="zh-CN"/>
        </w:rPr>
        <w:t>也是</w:t>
      </w:r>
      <w:r>
        <w:rPr>
          <w:rFonts w:hint="eastAsia" w:ascii="Times New Roman" w:hAnsi="Times New Roman" w:eastAsia="仿宋" w:cs="仿宋"/>
          <w:smallCaps w:val="0"/>
          <w:color w:val="auto"/>
          <w:spacing w:val="8"/>
          <w:sz w:val="32"/>
          <w:szCs w:val="32"/>
        </w:rPr>
        <w:t>自治区规划重点开采区，优先勘查开发，提高准入门槛，推动煤炭资源的规模开发、集约利用，支撑能源资源基地建设；</w:t>
      </w:r>
      <w:r>
        <w:rPr>
          <w:rFonts w:hint="eastAsia" w:ascii="Times New Roman" w:hAnsi="Times New Roman" w:eastAsia="仿宋" w:cs="仿宋"/>
          <w:smallCaps w:val="0"/>
          <w:color w:val="auto"/>
          <w:spacing w:val="8"/>
          <w:sz w:val="32"/>
          <w:szCs w:val="32"/>
          <w:lang w:val="en-US" w:eastAsia="zh-CN"/>
        </w:rPr>
        <w:t>设置</w:t>
      </w:r>
      <w:r>
        <w:rPr>
          <w:rFonts w:hint="eastAsia" w:ascii="Times New Roman" w:hAnsi="Times New Roman" w:eastAsia="仿宋" w:cs="仿宋"/>
          <w:smallCaps w:val="0"/>
          <w:color w:val="auto"/>
          <w:spacing w:val="8"/>
          <w:sz w:val="32"/>
          <w:szCs w:val="32"/>
        </w:rPr>
        <w:t>重点勘查区1个，为银川平原黄河断裂带</w:t>
      </w:r>
      <w:r>
        <w:rPr>
          <w:rFonts w:hint="eastAsia" w:ascii="Times New Roman" w:hAnsi="Times New Roman" w:eastAsia="仿宋" w:cs="仿宋"/>
          <w:smallCaps w:val="0"/>
          <w:color w:val="auto"/>
          <w:spacing w:val="8"/>
          <w:sz w:val="32"/>
          <w:szCs w:val="32"/>
          <w:lang w:val="en-US" w:eastAsia="zh-CN"/>
        </w:rPr>
        <w:t>地热能</w:t>
      </w:r>
      <w:r>
        <w:rPr>
          <w:rFonts w:hint="eastAsia" w:ascii="Times New Roman" w:hAnsi="Times New Roman" w:eastAsia="仿宋" w:cs="仿宋"/>
          <w:smallCaps w:val="0"/>
          <w:color w:val="auto"/>
          <w:spacing w:val="8"/>
          <w:sz w:val="32"/>
          <w:szCs w:val="32"/>
        </w:rPr>
        <w:t>重点勘查区；</w:t>
      </w:r>
      <w:r>
        <w:rPr>
          <w:rFonts w:hint="eastAsia" w:ascii="Times New Roman" w:hAnsi="Times New Roman" w:eastAsia="仿宋" w:cs="仿宋"/>
          <w:smallCaps w:val="0"/>
          <w:color w:val="auto"/>
          <w:spacing w:val="8"/>
          <w:sz w:val="32"/>
          <w:szCs w:val="32"/>
          <w:highlight w:val="none"/>
        </w:rPr>
        <w:t>规划建设砂石集中开采区5个。</w:t>
      </w:r>
      <w:r>
        <w:rPr>
          <w:rFonts w:hint="eastAsia" w:ascii="Times New Roman" w:hAnsi="Times New Roman" w:eastAsia="仿宋" w:cs="仿宋"/>
          <w:smallCaps w:val="0"/>
          <w:color w:val="auto"/>
          <w:spacing w:val="8"/>
          <w:sz w:val="32"/>
          <w:szCs w:val="32"/>
        </w:rPr>
        <w:t>构建区域供需平衡、资源利用率高、规模化经营的砂石资源开发格局，保障基础设施建设需求。</w:t>
      </w:r>
    </w:p>
    <w:p w14:paraId="09CD5BD8">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（一）勘查规划分区</w:t>
      </w:r>
    </w:p>
    <w:p w14:paraId="64156673">
      <w:pPr>
        <w:keepNext w:val="0"/>
        <w:keepLines w:val="0"/>
        <w:pageBreakBefore w:val="0"/>
        <w:widowControl w:val="0"/>
        <w:kinsoku/>
        <w:wordWrap/>
        <w:overflowPunct/>
        <w:topLinePunct w:val="0"/>
        <w:autoSpaceDE w:val="0"/>
        <w:autoSpaceDN w:val="0"/>
        <w:bidi w:val="0"/>
        <w:adjustRightInd w:val="0"/>
        <w:snapToGrid w:val="0"/>
        <w:spacing w:line="600" w:lineRule="exact"/>
        <w:ind w:firstLine="672" w:firstLineChars="200"/>
        <w:jc w:val="both"/>
        <w:textAlignment w:val="baseline"/>
        <w:rPr>
          <w:rFonts w:hint="eastAsia" w:ascii="Times New Roman" w:hAnsi="Times New Roman" w:eastAsia="仿宋" w:cs="仿宋"/>
          <w:smallCaps w:val="0"/>
          <w:color w:val="auto"/>
          <w:spacing w:val="8"/>
          <w:sz w:val="32"/>
          <w:szCs w:val="32"/>
        </w:rPr>
      </w:pPr>
      <w:r>
        <w:rPr>
          <w:rFonts w:hint="eastAsia" w:ascii="Times New Roman" w:hAnsi="Times New Roman" w:eastAsia="仿宋" w:cs="仿宋"/>
          <w:smallCaps w:val="0"/>
          <w:color w:val="auto"/>
          <w:spacing w:val="8"/>
          <w:sz w:val="32"/>
          <w:szCs w:val="32"/>
          <w:lang w:val="en-US" w:eastAsia="zh-CN"/>
        </w:rPr>
        <w:t>设置地热能</w:t>
      </w:r>
      <w:r>
        <w:rPr>
          <w:rFonts w:hint="eastAsia" w:ascii="Times New Roman" w:hAnsi="Times New Roman" w:eastAsia="仿宋" w:cs="仿宋"/>
          <w:smallCaps w:val="0"/>
          <w:color w:val="auto"/>
          <w:spacing w:val="8"/>
          <w:sz w:val="32"/>
          <w:szCs w:val="32"/>
        </w:rPr>
        <w:t>重点勘查区1个，聚焦地热资源勘查评价，规范勘查行为，提升勘查精度。</w:t>
      </w:r>
    </w:p>
    <w:p w14:paraId="0A1613BD">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（二）开采规划分区</w:t>
      </w:r>
    </w:p>
    <w:p w14:paraId="084D5248">
      <w:pPr>
        <w:keepNext w:val="0"/>
        <w:keepLines w:val="0"/>
        <w:pageBreakBefore w:val="0"/>
        <w:widowControl w:val="0"/>
        <w:kinsoku/>
        <w:wordWrap/>
        <w:overflowPunct/>
        <w:topLinePunct w:val="0"/>
        <w:autoSpaceDE w:val="0"/>
        <w:autoSpaceDN w:val="0"/>
        <w:bidi w:val="0"/>
        <w:adjustRightInd w:val="0"/>
        <w:snapToGrid w:val="0"/>
        <w:spacing w:line="600" w:lineRule="exact"/>
        <w:ind w:firstLine="672" w:firstLineChars="200"/>
        <w:jc w:val="both"/>
        <w:textAlignment w:val="baseline"/>
        <w:rPr>
          <w:rFonts w:hint="eastAsia" w:ascii="Times New Roman" w:hAnsi="Times New Roman" w:eastAsia="仿宋" w:cs="仿宋"/>
          <w:smallCaps w:val="0"/>
          <w:color w:val="auto"/>
          <w:spacing w:val="8"/>
          <w:sz w:val="32"/>
          <w:szCs w:val="32"/>
        </w:rPr>
      </w:pPr>
      <w:r>
        <w:rPr>
          <w:rFonts w:hint="eastAsia" w:ascii="Times New Roman" w:hAnsi="Times New Roman" w:eastAsia="仿宋" w:cs="仿宋"/>
          <w:smallCaps w:val="0"/>
          <w:color w:val="auto"/>
          <w:spacing w:val="8"/>
          <w:sz w:val="32"/>
          <w:szCs w:val="32"/>
          <w:lang w:val="en-US" w:eastAsia="zh-CN"/>
        </w:rPr>
        <w:t>设置</w:t>
      </w:r>
      <w:r>
        <w:rPr>
          <w:rFonts w:hint="eastAsia" w:ascii="Times New Roman" w:hAnsi="Times New Roman" w:eastAsia="仿宋" w:cs="仿宋"/>
          <w:smallCaps w:val="0"/>
          <w:color w:val="auto"/>
          <w:spacing w:val="8"/>
          <w:sz w:val="32"/>
          <w:szCs w:val="32"/>
        </w:rPr>
        <w:t>煤炭重点开采区</w:t>
      </w:r>
      <w:r>
        <w:rPr>
          <w:rFonts w:hint="eastAsia" w:ascii="Times New Roman" w:hAnsi="Times New Roman" w:eastAsia="仿宋" w:cs="仿宋"/>
          <w:smallCaps w:val="0"/>
          <w:color w:val="auto"/>
          <w:spacing w:val="8"/>
          <w:sz w:val="32"/>
          <w:szCs w:val="32"/>
          <w:lang w:val="en-US" w:eastAsia="zh-CN"/>
        </w:rPr>
        <w:t>4</w:t>
      </w:r>
      <w:r>
        <w:rPr>
          <w:rFonts w:hint="eastAsia" w:ascii="Times New Roman" w:hAnsi="Times New Roman" w:eastAsia="仿宋" w:cs="仿宋"/>
          <w:smallCaps w:val="0"/>
          <w:color w:val="auto"/>
          <w:spacing w:val="8"/>
          <w:sz w:val="32"/>
          <w:szCs w:val="32"/>
        </w:rPr>
        <w:t>个，</w:t>
      </w:r>
      <w:r>
        <w:rPr>
          <w:rFonts w:hint="eastAsia" w:ascii="仿宋" w:hAnsi="仿宋" w:eastAsia="仿宋" w:cs="Times New Roman"/>
          <w:sz w:val="32"/>
          <w:szCs w:val="32"/>
        </w:rPr>
        <w:t>按照产业集聚、规模化、集约化、绿色发展等原则，</w:t>
      </w:r>
      <w:r>
        <w:rPr>
          <w:rFonts w:hint="eastAsia" w:ascii="Times New Roman" w:hAnsi="Times New Roman" w:eastAsia="仿宋" w:cs="仿宋"/>
          <w:smallCaps w:val="0"/>
          <w:color w:val="auto"/>
          <w:spacing w:val="8"/>
          <w:sz w:val="32"/>
          <w:szCs w:val="32"/>
        </w:rPr>
        <w:t>统筹建设砂石集中开采区</w:t>
      </w:r>
      <w:r>
        <w:rPr>
          <w:rFonts w:hint="eastAsia" w:ascii="Times New Roman" w:hAnsi="Times New Roman" w:eastAsia="仿宋" w:cs="仿宋"/>
          <w:smallCaps w:val="0"/>
          <w:color w:val="auto"/>
          <w:spacing w:val="8"/>
          <w:sz w:val="32"/>
          <w:szCs w:val="32"/>
          <w:lang w:val="en-US" w:eastAsia="zh-CN"/>
        </w:rPr>
        <w:t>5</w:t>
      </w:r>
      <w:r>
        <w:rPr>
          <w:rFonts w:hint="eastAsia" w:ascii="Times New Roman" w:hAnsi="Times New Roman" w:eastAsia="仿宋" w:cs="仿宋"/>
          <w:smallCaps w:val="0"/>
          <w:color w:val="auto"/>
          <w:spacing w:val="8"/>
          <w:sz w:val="32"/>
          <w:szCs w:val="32"/>
        </w:rPr>
        <w:t>个。</w:t>
      </w:r>
    </w:p>
    <w:p w14:paraId="204500B0">
      <w:pPr>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ind w:firstLine="720" w:firstLineChars="200"/>
        <w:jc w:val="both"/>
        <w:textAlignment w:val="auto"/>
        <w:outlineLvl w:val="9"/>
        <w:rPr>
          <w:rFonts w:hint="eastAsia" w:ascii="黑体" w:hAnsi="黑体" w:eastAsia="黑体" w:cs="黑体"/>
          <w:b w:val="0"/>
          <w:bCs w:val="0"/>
          <w:snapToGrid/>
          <w:color w:val="000000" w:themeColor="text1"/>
          <w:kern w:val="1"/>
          <w:sz w:val="36"/>
          <w:szCs w:val="36"/>
          <w:lang w:val="en-US" w:eastAsia="zh-CN"/>
          <w14:textFill>
            <w14:solidFill>
              <w14:schemeClr w14:val="tx1"/>
            </w14:solidFill>
          </w14:textFill>
        </w:rPr>
        <w:sectPr>
          <w:pgSz w:w="11907" w:h="16839"/>
          <w:pgMar w:top="1440" w:right="1800" w:bottom="1440" w:left="1800" w:header="941" w:footer="945" w:gutter="0"/>
          <w:pgNumType w:fmt="decimal"/>
          <w:cols w:space="720" w:num="1"/>
        </w:sectPr>
      </w:pPr>
    </w:p>
    <w:p w14:paraId="29AEA058">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jc w:val="center"/>
        <w:textAlignment w:val="auto"/>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pPr>
      <w:bookmarkStart w:id="18" w:name="_Toc3489"/>
      <w:r>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t>第五章  矿产资源勘查开采利用与保护</w:t>
      </w:r>
      <w:bookmarkEnd w:id="18"/>
    </w:p>
    <w:p w14:paraId="7B2A2FF7">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19" w:name="bookmark36"/>
      <w:bookmarkEnd w:id="19"/>
      <w:bookmarkStart w:id="20" w:name="_Toc5915"/>
      <w:r>
        <w:rPr>
          <w:rFonts w:hint="eastAsia" w:ascii="黑体" w:hAnsi="黑体" w:eastAsia="黑体" w:cs="黑体"/>
          <w:b w:val="0"/>
          <w:bCs w:val="0"/>
          <w:smallCaps w:val="0"/>
          <w:color w:val="auto"/>
          <w:sz w:val="32"/>
          <w:szCs w:val="32"/>
          <w:lang w:val="en-US" w:eastAsia="zh-CN"/>
        </w:rPr>
        <w:t>一、</w:t>
      </w:r>
      <w:r>
        <w:rPr>
          <w:rFonts w:hint="eastAsia" w:ascii="黑体" w:eastAsia="黑体" w:cs="黑体"/>
          <w:b w:val="0"/>
          <w:bCs w:val="0"/>
          <w:smallCaps w:val="0"/>
          <w:color w:val="auto"/>
          <w:sz w:val="32"/>
          <w:szCs w:val="32"/>
          <w:lang w:val="en-US" w:eastAsia="zh-CN"/>
        </w:rPr>
        <w:t>实施</w:t>
      </w:r>
      <w:r>
        <w:rPr>
          <w:rFonts w:hint="eastAsia" w:ascii="黑体" w:hAnsi="黑体" w:eastAsia="黑体" w:cs="黑体"/>
          <w:b w:val="0"/>
          <w:bCs w:val="0"/>
          <w:smallCaps w:val="0"/>
          <w:color w:val="auto"/>
          <w:sz w:val="32"/>
          <w:szCs w:val="32"/>
          <w:lang w:val="en-US" w:eastAsia="zh-CN"/>
        </w:rPr>
        <w:t>地质调查与勘查</w:t>
      </w:r>
      <w:bookmarkEnd w:id="20"/>
    </w:p>
    <w:p w14:paraId="24DA27C8">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default" w:ascii="Times New Roman" w:hAnsi="Times New Roman" w:eastAsia="仿宋" w:cs="仿宋"/>
          <w:b w:val="0"/>
          <w:bCs w:val="0"/>
          <w:smallCaps w:val="0"/>
          <w:color w:val="auto"/>
          <w:spacing w:val="-4"/>
          <w:sz w:val="32"/>
          <w:szCs w:val="32"/>
          <w:highlight w:val="none"/>
          <w:lang w:val="en-US" w:eastAsia="zh-CN"/>
        </w:rPr>
      </w:pPr>
      <w:r>
        <w:rPr>
          <w:rFonts w:hint="eastAsia" w:ascii="Times New Roman" w:hAnsi="Times New Roman" w:eastAsia="仿宋" w:cs="仿宋"/>
          <w:b w:val="0"/>
          <w:bCs w:val="0"/>
          <w:smallCaps w:val="0"/>
          <w:color w:val="auto"/>
          <w:spacing w:val="-4"/>
          <w:sz w:val="32"/>
          <w:szCs w:val="32"/>
          <w:highlight w:val="none"/>
          <w:lang w:val="en-US" w:eastAsia="zh-CN"/>
        </w:rPr>
        <w:t>实施区域地质调查项目2个。积极引导和鼓励社会资本参与地热资源勘查，拓宽勘查资金渠道，推动地热资源勘查工作有序开展。</w:t>
      </w:r>
    </w:p>
    <w:p w14:paraId="1E1B2D2E">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21" w:name="_Toc427"/>
      <w:r>
        <w:rPr>
          <w:rFonts w:hint="eastAsia" w:ascii="黑体" w:hAnsi="黑体" w:eastAsia="黑体" w:cs="黑体"/>
          <w:b w:val="0"/>
          <w:bCs w:val="0"/>
          <w:smallCaps w:val="0"/>
          <w:color w:val="auto"/>
          <w:sz w:val="32"/>
          <w:szCs w:val="32"/>
          <w:lang w:val="en-US" w:eastAsia="zh-CN"/>
        </w:rPr>
        <w:t>二、</w:t>
      </w:r>
      <w:r>
        <w:rPr>
          <w:rFonts w:hint="eastAsia" w:ascii="黑体" w:eastAsia="黑体" w:cs="黑体"/>
          <w:b w:val="0"/>
          <w:bCs w:val="0"/>
          <w:smallCaps w:val="0"/>
          <w:color w:val="auto"/>
          <w:sz w:val="32"/>
          <w:szCs w:val="32"/>
          <w:lang w:val="en-US" w:eastAsia="zh-CN"/>
        </w:rPr>
        <w:t>管控</w:t>
      </w:r>
      <w:r>
        <w:rPr>
          <w:rFonts w:hint="eastAsia" w:ascii="黑体" w:hAnsi="黑体" w:eastAsia="黑体" w:cs="黑体"/>
          <w:b w:val="0"/>
          <w:bCs w:val="0"/>
          <w:smallCaps w:val="0"/>
          <w:color w:val="auto"/>
          <w:sz w:val="32"/>
          <w:szCs w:val="32"/>
          <w:lang w:val="en-US" w:eastAsia="zh-CN"/>
        </w:rPr>
        <w:t>开采总量和矿山数量</w:t>
      </w:r>
      <w:bookmarkEnd w:id="21"/>
    </w:p>
    <w:p w14:paraId="73B9F71B">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（一）实施分类总量调控</w:t>
      </w:r>
    </w:p>
    <w:p w14:paraId="2C28E1CB">
      <w:pPr>
        <w:pStyle w:val="14"/>
        <w:keepNext w:val="0"/>
        <w:keepLines w:val="0"/>
        <w:pageBreakBefore w:val="0"/>
        <w:widowControl w:val="0"/>
        <w:wordWrap/>
        <w:overflowPunct/>
        <w:topLinePunct w:val="0"/>
        <w:autoSpaceDE w:val="0"/>
        <w:autoSpaceDN w:val="0"/>
        <w:bidi w:val="0"/>
        <w:adjustRightInd w:val="0"/>
        <w:snapToGrid w:val="0"/>
        <w:spacing w:beforeLines="0" w:line="600" w:lineRule="exact"/>
        <w:ind w:left="0" w:right="0" w:firstLine="624" w:firstLineChars="200"/>
        <w:jc w:val="both"/>
        <w:textAlignment w:val="baseline"/>
        <w:rPr>
          <w:rFonts w:hint="default" w:ascii="Times New Roman" w:hAnsi="Times New Roman" w:eastAsia="仿宋" w:cs="仿宋"/>
          <w:b w:val="0"/>
          <w:bCs w:val="0"/>
          <w:smallCaps w:val="0"/>
          <w:snapToGrid w:val="0"/>
          <w:color w:val="auto"/>
          <w:spacing w:val="-4"/>
          <w:kern w:val="0"/>
          <w:sz w:val="32"/>
          <w:szCs w:val="32"/>
          <w:lang w:val="en-US" w:eastAsia="zh-CN" w:bidi="ar-SA"/>
        </w:rPr>
      </w:pPr>
      <w:r>
        <w:rPr>
          <w:rFonts w:hint="default" w:ascii="Times New Roman" w:hAnsi="Times New Roman" w:eastAsia="仿宋" w:cs="仿宋"/>
          <w:b w:val="0"/>
          <w:bCs w:val="0"/>
          <w:smallCaps w:val="0"/>
          <w:snapToGrid w:val="0"/>
          <w:color w:val="auto"/>
          <w:spacing w:val="-4"/>
          <w:kern w:val="0"/>
          <w:sz w:val="32"/>
          <w:szCs w:val="32"/>
          <w:lang w:val="en-US" w:eastAsia="zh-CN" w:bidi="ar-SA"/>
        </w:rPr>
        <w:t>结合银川市矿产资源禀赋特点与产业发展需求，对不同矿种实施差别化总量管控，实现资源开发与供需平衡、生态保护相适配。</w:t>
      </w:r>
    </w:p>
    <w:p w14:paraId="46270A8D">
      <w:pPr>
        <w:pStyle w:val="14"/>
        <w:keepNext w:val="0"/>
        <w:keepLines w:val="0"/>
        <w:pageBreakBefore w:val="0"/>
        <w:widowControl w:val="0"/>
        <w:wordWrap/>
        <w:overflowPunct/>
        <w:topLinePunct w:val="0"/>
        <w:autoSpaceDE w:val="0"/>
        <w:autoSpaceDN w:val="0"/>
        <w:bidi w:val="0"/>
        <w:adjustRightInd w:val="0"/>
        <w:snapToGrid w:val="0"/>
        <w:spacing w:beforeLines="0" w:line="600" w:lineRule="exact"/>
        <w:ind w:left="0" w:right="0" w:firstLine="627" w:firstLineChars="200"/>
        <w:jc w:val="both"/>
        <w:textAlignment w:val="baseline"/>
        <w:rPr>
          <w:rFonts w:hint="default" w:ascii="Times New Roman" w:hAnsi="Times New Roman" w:eastAsia="仿宋" w:cs="仿宋"/>
          <w:b/>
          <w:bCs/>
          <w:smallCaps w:val="0"/>
          <w:snapToGrid w:val="0"/>
          <w:color w:val="auto"/>
          <w:spacing w:val="-4"/>
          <w:kern w:val="0"/>
          <w:sz w:val="32"/>
          <w:szCs w:val="32"/>
          <w:lang w:val="en-US" w:eastAsia="zh-CN" w:bidi="ar-SA"/>
        </w:rPr>
      </w:pPr>
      <w:r>
        <w:rPr>
          <w:rFonts w:hint="eastAsia" w:ascii="Times New Roman" w:hAnsi="Times New Roman" w:eastAsia="仿宋" w:cs="仿宋"/>
          <w:b/>
          <w:bCs/>
          <w:smallCaps w:val="0"/>
          <w:snapToGrid w:val="0"/>
          <w:color w:val="auto"/>
          <w:spacing w:val="-4"/>
          <w:kern w:val="0"/>
          <w:sz w:val="32"/>
          <w:szCs w:val="32"/>
          <w:lang w:val="en-US" w:eastAsia="zh-CN" w:bidi="ar-SA"/>
        </w:rPr>
        <w:t>1.能源矿产</w:t>
      </w:r>
    </w:p>
    <w:p w14:paraId="121FB460">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27" w:firstLineChars="200"/>
        <w:jc w:val="both"/>
        <w:textAlignment w:val="baseline"/>
        <w:rPr>
          <w:rFonts w:hint="default" w:ascii="Times New Roman" w:hAnsi="Times New Roman" w:eastAsia="仿宋" w:cs="仿宋"/>
          <w:b w:val="0"/>
          <w:bCs w:val="0"/>
          <w:smallCaps w:val="0"/>
          <w:snapToGrid w:val="0"/>
          <w:color w:val="auto"/>
          <w:spacing w:val="-4"/>
          <w:kern w:val="0"/>
          <w:sz w:val="32"/>
          <w:szCs w:val="32"/>
          <w:lang w:val="en-US" w:eastAsia="zh-CN" w:bidi="ar-SA"/>
        </w:rPr>
      </w:pPr>
      <w:r>
        <w:rPr>
          <w:rFonts w:hint="default" w:ascii="Times New Roman" w:hAnsi="Times New Roman" w:eastAsia="仿宋" w:cs="仿宋"/>
          <w:b/>
          <w:bCs/>
          <w:smallCaps w:val="0"/>
          <w:snapToGrid w:val="0"/>
          <w:color w:val="auto"/>
          <w:spacing w:val="-4"/>
          <w:kern w:val="0"/>
          <w:sz w:val="32"/>
          <w:szCs w:val="32"/>
          <w:lang w:val="en-US" w:eastAsia="zh-CN" w:bidi="ar-SA"/>
        </w:rPr>
        <w:t>煤炭：</w:t>
      </w:r>
      <w:r>
        <w:rPr>
          <w:rFonts w:hint="eastAsia" w:ascii="Times New Roman" w:hAnsi="Times New Roman" w:eastAsia="仿宋" w:cs="仿宋"/>
          <w:b w:val="0"/>
          <w:bCs w:val="0"/>
          <w:smallCaps w:val="0"/>
          <w:snapToGrid w:val="0"/>
          <w:color w:val="auto"/>
          <w:spacing w:val="-4"/>
          <w:kern w:val="0"/>
          <w:sz w:val="32"/>
          <w:szCs w:val="32"/>
          <w:lang w:val="en-US" w:eastAsia="zh-CN" w:bidi="ar-SA"/>
        </w:rPr>
        <w:t>全力保障自治区能源战略要求，规划</w:t>
      </w:r>
      <w:r>
        <w:rPr>
          <w:rFonts w:hint="default" w:ascii="Times New Roman" w:hAnsi="Times New Roman" w:eastAsia="仿宋" w:cs="仿宋"/>
          <w:b w:val="0"/>
          <w:bCs w:val="0"/>
          <w:smallCaps w:val="0"/>
          <w:snapToGrid w:val="0"/>
          <w:color w:val="auto"/>
          <w:spacing w:val="-4"/>
          <w:kern w:val="0"/>
          <w:sz w:val="32"/>
          <w:szCs w:val="32"/>
          <w:lang w:val="en-US" w:eastAsia="zh-CN" w:bidi="ar-SA"/>
        </w:rPr>
        <w:t>期</w:t>
      </w:r>
      <w:r>
        <w:rPr>
          <w:rFonts w:hint="eastAsia" w:ascii="Times New Roman" w:hAnsi="Times New Roman" w:eastAsia="仿宋" w:cs="仿宋"/>
          <w:b w:val="0"/>
          <w:bCs w:val="0"/>
          <w:smallCaps w:val="0"/>
          <w:snapToGrid w:val="0"/>
          <w:color w:val="auto"/>
          <w:spacing w:val="-4"/>
          <w:kern w:val="0"/>
          <w:sz w:val="32"/>
          <w:szCs w:val="32"/>
          <w:lang w:val="en-US" w:eastAsia="zh-CN" w:bidi="ar-SA"/>
        </w:rPr>
        <w:t>内</w:t>
      </w:r>
      <w:r>
        <w:rPr>
          <w:rFonts w:hint="default" w:ascii="Times New Roman" w:hAnsi="Times New Roman" w:eastAsia="仿宋" w:cs="仿宋"/>
          <w:b w:val="0"/>
          <w:bCs w:val="0"/>
          <w:smallCaps w:val="0"/>
          <w:snapToGrid w:val="0"/>
          <w:color w:val="auto"/>
          <w:spacing w:val="-4"/>
          <w:kern w:val="0"/>
          <w:sz w:val="32"/>
          <w:szCs w:val="32"/>
          <w:lang w:val="en-US" w:eastAsia="zh-CN" w:bidi="ar-SA"/>
        </w:rPr>
        <w:t>实行</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r>
        <w:rPr>
          <w:rFonts w:hint="default" w:ascii="Times New Roman" w:hAnsi="Times New Roman" w:eastAsia="仿宋" w:cs="仿宋"/>
          <w:b w:val="0"/>
          <w:bCs w:val="0"/>
          <w:smallCaps w:val="0"/>
          <w:snapToGrid w:val="0"/>
          <w:color w:val="auto"/>
          <w:spacing w:val="-4"/>
          <w:kern w:val="0"/>
          <w:sz w:val="32"/>
          <w:szCs w:val="32"/>
          <w:lang w:val="en-US" w:eastAsia="zh-CN" w:bidi="ar-SA"/>
        </w:rPr>
        <w:t>稳产保供</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r>
        <w:rPr>
          <w:rFonts w:hint="default" w:ascii="Times New Roman" w:hAnsi="Times New Roman" w:eastAsia="仿宋" w:cs="仿宋"/>
          <w:b w:val="0"/>
          <w:bCs w:val="0"/>
          <w:smallCaps w:val="0"/>
          <w:snapToGrid w:val="0"/>
          <w:color w:val="auto"/>
          <w:spacing w:val="-4"/>
          <w:kern w:val="0"/>
          <w:sz w:val="32"/>
          <w:szCs w:val="32"/>
          <w:lang w:val="en-US" w:eastAsia="zh-CN" w:bidi="ar-SA"/>
        </w:rPr>
        <w:t>策略，重点</w:t>
      </w:r>
      <w:r>
        <w:rPr>
          <w:rFonts w:hint="eastAsia" w:ascii="Times New Roman" w:hAnsi="Times New Roman" w:eastAsia="仿宋" w:cs="仿宋"/>
          <w:b w:val="0"/>
          <w:bCs w:val="0"/>
          <w:smallCaps w:val="0"/>
          <w:snapToGrid w:val="0"/>
          <w:color w:val="auto"/>
          <w:spacing w:val="-4"/>
          <w:kern w:val="0"/>
          <w:sz w:val="32"/>
          <w:szCs w:val="32"/>
          <w:lang w:val="en-US" w:eastAsia="zh-CN" w:bidi="ar-SA"/>
        </w:rPr>
        <w:t>支撑</w:t>
      </w:r>
      <w:r>
        <w:rPr>
          <w:rFonts w:hint="default" w:ascii="Times New Roman" w:hAnsi="Times New Roman" w:eastAsia="仿宋" w:cs="仿宋"/>
          <w:b w:val="0"/>
          <w:bCs w:val="0"/>
          <w:smallCaps w:val="0"/>
          <w:snapToGrid w:val="0"/>
          <w:color w:val="auto"/>
          <w:spacing w:val="-4"/>
          <w:kern w:val="0"/>
          <w:sz w:val="32"/>
          <w:szCs w:val="32"/>
          <w:lang w:val="en-US" w:eastAsia="zh-CN" w:bidi="ar-SA"/>
        </w:rPr>
        <w:t>宁东</w:t>
      </w:r>
      <w:r>
        <w:rPr>
          <w:rFonts w:hint="eastAsia" w:ascii="Times New Roman" w:hAnsi="Times New Roman" w:eastAsia="仿宋" w:cs="仿宋"/>
          <w:b w:val="0"/>
          <w:bCs w:val="0"/>
          <w:smallCaps w:val="0"/>
          <w:snapToGrid w:val="0"/>
          <w:color w:val="auto"/>
          <w:spacing w:val="-4"/>
          <w:kern w:val="0"/>
          <w:sz w:val="32"/>
          <w:szCs w:val="32"/>
          <w:lang w:val="en-US" w:eastAsia="zh-CN" w:bidi="ar-SA"/>
        </w:rPr>
        <w:t>国家级能源基地</w:t>
      </w:r>
      <w:r>
        <w:rPr>
          <w:rFonts w:hint="default" w:ascii="Times New Roman" w:hAnsi="Times New Roman" w:eastAsia="仿宋" w:cs="仿宋"/>
          <w:b w:val="0"/>
          <w:bCs w:val="0"/>
          <w:smallCaps w:val="0"/>
          <w:snapToGrid w:val="0"/>
          <w:color w:val="auto"/>
          <w:spacing w:val="-4"/>
          <w:kern w:val="0"/>
          <w:sz w:val="32"/>
          <w:szCs w:val="32"/>
          <w:lang w:val="en-US" w:eastAsia="zh-CN" w:bidi="ar-SA"/>
        </w:rPr>
        <w:t>向高效清洁利用转型，严格限制高硫份、高灰份煤炭的开采</w:t>
      </w:r>
      <w:r>
        <w:rPr>
          <w:rFonts w:hint="eastAsia" w:ascii="Times New Roman" w:hAnsi="Times New Roman" w:eastAsia="仿宋" w:cs="仿宋"/>
          <w:b w:val="0"/>
          <w:bCs w:val="0"/>
          <w:smallCaps w:val="0"/>
          <w:snapToGrid w:val="0"/>
          <w:color w:val="auto"/>
          <w:spacing w:val="-4"/>
          <w:kern w:val="0"/>
          <w:sz w:val="32"/>
          <w:szCs w:val="32"/>
          <w:lang w:val="en-US" w:eastAsia="zh-CN" w:bidi="ar-SA"/>
        </w:rPr>
        <w:t>，推动煤炭资源清洁化、精细化利用</w:t>
      </w:r>
      <w:r>
        <w:rPr>
          <w:rFonts w:hint="default" w:ascii="Times New Roman" w:hAnsi="Times New Roman" w:eastAsia="仿宋" w:cs="仿宋"/>
          <w:b w:val="0"/>
          <w:bCs w:val="0"/>
          <w:smallCaps w:val="0"/>
          <w:snapToGrid w:val="0"/>
          <w:color w:val="auto"/>
          <w:spacing w:val="-4"/>
          <w:kern w:val="0"/>
          <w:sz w:val="32"/>
          <w:szCs w:val="32"/>
          <w:lang w:val="en-US" w:eastAsia="zh-CN" w:bidi="ar-SA"/>
        </w:rPr>
        <w:t>。</w:t>
      </w:r>
    </w:p>
    <w:p w14:paraId="075DC74E">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27" w:firstLineChars="200"/>
        <w:jc w:val="both"/>
        <w:textAlignment w:val="baseline"/>
        <w:rPr>
          <w:rFonts w:hint="eastAsia" w:ascii="Times New Roman" w:hAnsi="Times New Roman" w:eastAsia="仿宋" w:cs="仿宋"/>
          <w:b/>
          <w:bCs/>
          <w:smallCaps w:val="0"/>
          <w:snapToGrid w:val="0"/>
          <w:color w:val="auto"/>
          <w:spacing w:val="-4"/>
          <w:kern w:val="0"/>
          <w:sz w:val="32"/>
          <w:szCs w:val="32"/>
          <w:lang w:val="en-US" w:eastAsia="zh-CN" w:bidi="ar-SA"/>
        </w:rPr>
      </w:pPr>
      <w:r>
        <w:rPr>
          <w:rFonts w:hint="eastAsia" w:ascii="Times New Roman" w:hAnsi="Times New Roman" w:eastAsia="仿宋" w:cs="仿宋"/>
          <w:b/>
          <w:bCs/>
          <w:smallCaps w:val="0"/>
          <w:snapToGrid w:val="0"/>
          <w:color w:val="auto"/>
          <w:spacing w:val="-4"/>
          <w:kern w:val="0"/>
          <w:sz w:val="32"/>
          <w:szCs w:val="32"/>
          <w:lang w:val="en-US" w:eastAsia="zh-CN" w:bidi="ar-SA"/>
        </w:rPr>
        <w:t>煤层气：</w:t>
      </w:r>
      <w:r>
        <w:rPr>
          <w:rFonts w:hint="eastAsia" w:ascii="Times New Roman" w:hAnsi="Times New Roman" w:eastAsia="仿宋" w:cs="仿宋"/>
          <w:b w:val="0"/>
          <w:bCs w:val="0"/>
          <w:smallCaps w:val="0"/>
          <w:snapToGrid w:val="0"/>
          <w:color w:val="auto"/>
          <w:spacing w:val="-4"/>
          <w:kern w:val="0"/>
          <w:sz w:val="32"/>
          <w:szCs w:val="32"/>
          <w:lang w:val="en-US" w:eastAsia="zh-CN" w:bidi="ar-SA"/>
        </w:rPr>
        <w:t>“十五五”期间，在妥善解决矿业权重叠问题的同时，开展2000米以深煤层气资源潜力调查，重点研究侏罗系深部煤层气资源禀赋特征，推广“多气合采”“煤气共采”等综合开发模式，推动煤层气资源规模化、高效化开发。</w:t>
      </w:r>
    </w:p>
    <w:p w14:paraId="54C92A4B">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27" w:firstLineChars="200"/>
        <w:jc w:val="both"/>
        <w:textAlignment w:val="baseline"/>
        <w:rPr>
          <w:rFonts w:hint="default" w:ascii="Times New Roman" w:hAnsi="Times New Roman" w:eastAsia="仿宋" w:cs="仿宋"/>
          <w:b w:val="0"/>
          <w:bCs w:val="0"/>
          <w:smallCaps w:val="0"/>
          <w:snapToGrid w:val="0"/>
          <w:color w:val="auto"/>
          <w:spacing w:val="-4"/>
          <w:kern w:val="0"/>
          <w:sz w:val="32"/>
          <w:szCs w:val="32"/>
          <w:lang w:val="en-US" w:eastAsia="zh-CN" w:bidi="ar-SA"/>
        </w:rPr>
      </w:pPr>
      <w:r>
        <w:rPr>
          <w:rFonts w:hint="default" w:ascii="Times New Roman" w:hAnsi="Times New Roman" w:eastAsia="仿宋" w:cs="仿宋"/>
          <w:b/>
          <w:bCs/>
          <w:smallCaps w:val="0"/>
          <w:snapToGrid w:val="0"/>
          <w:color w:val="auto"/>
          <w:spacing w:val="-4"/>
          <w:kern w:val="0"/>
          <w:sz w:val="32"/>
          <w:szCs w:val="32"/>
          <w:lang w:val="en-US" w:eastAsia="zh-CN" w:bidi="ar-SA"/>
        </w:rPr>
        <w:t>地热：</w:t>
      </w:r>
      <w:r>
        <w:rPr>
          <w:rFonts w:hint="default" w:ascii="Times New Roman" w:hAnsi="Times New Roman" w:eastAsia="仿宋" w:cs="仿宋"/>
          <w:b w:val="0"/>
          <w:bCs w:val="0"/>
          <w:smallCaps w:val="0"/>
          <w:snapToGrid w:val="0"/>
          <w:color w:val="auto"/>
          <w:spacing w:val="-4"/>
          <w:kern w:val="0"/>
          <w:sz w:val="32"/>
          <w:szCs w:val="32"/>
          <w:lang w:val="en-US" w:eastAsia="zh-CN" w:bidi="ar-SA"/>
        </w:rPr>
        <w:t>实行</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r>
        <w:rPr>
          <w:rFonts w:hint="default" w:ascii="Times New Roman" w:hAnsi="Times New Roman" w:eastAsia="仿宋" w:cs="仿宋"/>
          <w:b w:val="0"/>
          <w:bCs w:val="0"/>
          <w:smallCaps w:val="0"/>
          <w:snapToGrid w:val="0"/>
          <w:color w:val="auto"/>
          <w:spacing w:val="-4"/>
          <w:kern w:val="0"/>
          <w:sz w:val="32"/>
          <w:szCs w:val="32"/>
          <w:lang w:val="en-US" w:eastAsia="zh-CN" w:bidi="ar-SA"/>
        </w:rPr>
        <w:t>鼓励与规范并举</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r>
        <w:rPr>
          <w:rFonts w:hint="default" w:ascii="Times New Roman" w:hAnsi="Times New Roman" w:eastAsia="仿宋" w:cs="仿宋"/>
          <w:b w:val="0"/>
          <w:bCs w:val="0"/>
          <w:smallCaps w:val="0"/>
          <w:snapToGrid w:val="0"/>
          <w:color w:val="auto"/>
          <w:spacing w:val="-4"/>
          <w:kern w:val="0"/>
          <w:sz w:val="32"/>
          <w:szCs w:val="32"/>
          <w:lang w:val="en-US" w:eastAsia="zh-CN" w:bidi="ar-SA"/>
        </w:rPr>
        <w:t xml:space="preserve">。坚持 </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r>
        <w:rPr>
          <w:rFonts w:hint="default" w:ascii="Times New Roman" w:hAnsi="Times New Roman" w:eastAsia="仿宋" w:cs="仿宋"/>
          <w:b w:val="0"/>
          <w:bCs w:val="0"/>
          <w:smallCaps w:val="0"/>
          <w:snapToGrid w:val="0"/>
          <w:color w:val="auto"/>
          <w:spacing w:val="-4"/>
          <w:kern w:val="0"/>
          <w:sz w:val="32"/>
          <w:szCs w:val="32"/>
          <w:lang w:val="en-US" w:eastAsia="zh-CN" w:bidi="ar-SA"/>
        </w:rPr>
        <w:t>以灌定产</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r>
        <w:rPr>
          <w:rFonts w:hint="default" w:ascii="Times New Roman" w:hAnsi="Times New Roman" w:eastAsia="仿宋" w:cs="仿宋"/>
          <w:b w:val="0"/>
          <w:bCs w:val="0"/>
          <w:smallCaps w:val="0"/>
          <w:snapToGrid w:val="0"/>
          <w:color w:val="auto"/>
          <w:spacing w:val="-4"/>
          <w:kern w:val="0"/>
          <w:sz w:val="32"/>
          <w:szCs w:val="32"/>
          <w:lang w:val="en-US" w:eastAsia="zh-CN" w:bidi="ar-SA"/>
        </w:rPr>
        <w:t>原则，将地下水保护作为开发前提，构建</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r>
        <w:rPr>
          <w:rFonts w:hint="default" w:ascii="Times New Roman" w:hAnsi="Times New Roman" w:eastAsia="仿宋" w:cs="仿宋"/>
          <w:b w:val="0"/>
          <w:bCs w:val="0"/>
          <w:smallCaps w:val="0"/>
          <w:snapToGrid w:val="0"/>
          <w:color w:val="auto"/>
          <w:spacing w:val="-4"/>
          <w:kern w:val="0"/>
          <w:sz w:val="32"/>
          <w:szCs w:val="32"/>
          <w:lang w:val="en-US" w:eastAsia="zh-CN" w:bidi="ar-SA"/>
        </w:rPr>
        <w:t>适度开发、严格管控、绿色高效</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r>
        <w:rPr>
          <w:rFonts w:hint="default" w:ascii="Times New Roman" w:hAnsi="Times New Roman" w:eastAsia="仿宋" w:cs="仿宋"/>
          <w:b w:val="0"/>
          <w:bCs w:val="0"/>
          <w:smallCaps w:val="0"/>
          <w:snapToGrid w:val="0"/>
          <w:color w:val="auto"/>
          <w:spacing w:val="-4"/>
          <w:kern w:val="0"/>
          <w:sz w:val="32"/>
          <w:szCs w:val="32"/>
          <w:lang w:val="en-US" w:eastAsia="zh-CN" w:bidi="ar-SA"/>
        </w:rPr>
        <w:t>的</w:t>
      </w:r>
      <w:r>
        <w:rPr>
          <w:rFonts w:hint="eastAsia" w:ascii="Times New Roman" w:hAnsi="Times New Roman" w:eastAsia="仿宋" w:cs="仿宋"/>
          <w:b w:val="0"/>
          <w:bCs w:val="0"/>
          <w:smallCaps w:val="0"/>
          <w:snapToGrid w:val="0"/>
          <w:color w:val="auto"/>
          <w:spacing w:val="-4"/>
          <w:kern w:val="0"/>
          <w:sz w:val="32"/>
          <w:szCs w:val="32"/>
          <w:lang w:val="en-US" w:eastAsia="zh-CN" w:bidi="ar-SA"/>
        </w:rPr>
        <w:t>开发利用</w:t>
      </w:r>
      <w:r>
        <w:rPr>
          <w:rFonts w:hint="default" w:ascii="Times New Roman" w:hAnsi="Times New Roman" w:eastAsia="仿宋" w:cs="仿宋"/>
          <w:b w:val="0"/>
          <w:bCs w:val="0"/>
          <w:smallCaps w:val="0"/>
          <w:snapToGrid w:val="0"/>
          <w:color w:val="auto"/>
          <w:spacing w:val="-4"/>
          <w:kern w:val="0"/>
          <w:sz w:val="32"/>
          <w:szCs w:val="32"/>
          <w:lang w:val="en-US" w:eastAsia="zh-CN" w:bidi="ar-SA"/>
        </w:rPr>
        <w:t>体系。</w:t>
      </w:r>
    </w:p>
    <w:p w14:paraId="0793F38F">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27" w:firstLineChars="200"/>
        <w:jc w:val="both"/>
        <w:textAlignment w:val="baseline"/>
        <w:rPr>
          <w:rFonts w:hint="default" w:ascii="Times New Roman" w:hAnsi="Times New Roman" w:eastAsia="仿宋" w:cs="仿宋"/>
          <w:b/>
          <w:bCs/>
          <w:smallCaps w:val="0"/>
          <w:snapToGrid w:val="0"/>
          <w:color w:val="auto"/>
          <w:spacing w:val="-4"/>
          <w:kern w:val="0"/>
          <w:sz w:val="32"/>
          <w:szCs w:val="32"/>
          <w:lang w:val="en-US" w:eastAsia="zh-CN" w:bidi="ar-SA"/>
        </w:rPr>
      </w:pPr>
      <w:r>
        <w:rPr>
          <w:rFonts w:hint="eastAsia" w:ascii="Times New Roman" w:hAnsi="Times New Roman" w:eastAsia="仿宋" w:cs="仿宋"/>
          <w:b/>
          <w:bCs/>
          <w:smallCaps w:val="0"/>
          <w:snapToGrid w:val="0"/>
          <w:color w:val="auto"/>
          <w:spacing w:val="-4"/>
          <w:kern w:val="0"/>
          <w:sz w:val="32"/>
          <w:szCs w:val="32"/>
          <w:lang w:val="en-US" w:eastAsia="zh-CN" w:bidi="ar-SA"/>
        </w:rPr>
        <w:t>2.非金属矿产</w:t>
      </w:r>
    </w:p>
    <w:p w14:paraId="04E66AB7">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27" w:firstLineChars="200"/>
        <w:jc w:val="both"/>
        <w:textAlignment w:val="baseline"/>
        <w:rPr>
          <w:rFonts w:hint="eastAsia" w:ascii="Times New Roman" w:hAnsi="Times New Roman" w:eastAsia="仿宋" w:cs="仿宋"/>
          <w:b w:val="0"/>
          <w:bCs w:val="0"/>
          <w:smallCaps w:val="0"/>
          <w:snapToGrid w:val="0"/>
          <w:color w:val="auto"/>
          <w:spacing w:val="-4"/>
          <w:kern w:val="0"/>
          <w:sz w:val="32"/>
          <w:szCs w:val="32"/>
          <w:lang w:val="en-US" w:eastAsia="zh-CN" w:bidi="ar-SA"/>
        </w:rPr>
      </w:pPr>
      <w:r>
        <w:rPr>
          <w:rFonts w:hint="eastAsia" w:ascii="Times New Roman" w:hAnsi="Times New Roman" w:eastAsia="仿宋" w:cs="仿宋"/>
          <w:b/>
          <w:bCs/>
          <w:smallCaps w:val="0"/>
          <w:snapToGrid w:val="0"/>
          <w:color w:val="auto"/>
          <w:spacing w:val="-4"/>
          <w:kern w:val="0"/>
          <w:sz w:val="32"/>
          <w:szCs w:val="32"/>
          <w:lang w:val="en-US" w:eastAsia="zh-CN" w:bidi="ar-SA"/>
        </w:rPr>
        <w:t>水泥用灰岩：</w:t>
      </w:r>
      <w:r>
        <w:rPr>
          <w:rFonts w:hint="eastAsia" w:ascii="Times New Roman" w:hAnsi="Times New Roman" w:eastAsia="仿宋" w:cs="仿宋"/>
          <w:b w:val="0"/>
          <w:bCs w:val="0"/>
          <w:smallCaps w:val="0"/>
          <w:snapToGrid w:val="0"/>
          <w:color w:val="auto"/>
          <w:spacing w:val="-4"/>
          <w:kern w:val="0"/>
          <w:sz w:val="32"/>
          <w:szCs w:val="32"/>
          <w:lang w:val="en-US" w:eastAsia="zh-CN" w:bidi="ar-SA"/>
        </w:rPr>
        <w:t>规划期间重点推进产能优化与产业升级。严格控制水泥用灰岩开采总量，避免产能过剩。原则上依托大型骨干水泥企业实行定点开采，不再新建小型水泥用灰岩矿山，提升产业集约化水平。</w:t>
      </w:r>
    </w:p>
    <w:p w14:paraId="09E7C8C4">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27" w:firstLineChars="200"/>
        <w:jc w:val="both"/>
        <w:textAlignment w:val="baseline"/>
        <w:rPr>
          <w:rFonts w:hint="eastAsia" w:ascii="Times New Roman" w:hAnsi="Times New Roman" w:eastAsia="仿宋" w:cs="仿宋"/>
          <w:b w:val="0"/>
          <w:bCs w:val="0"/>
          <w:smallCaps w:val="0"/>
          <w:snapToGrid w:val="0"/>
          <w:color w:val="auto"/>
          <w:spacing w:val="-4"/>
          <w:kern w:val="0"/>
          <w:sz w:val="32"/>
          <w:szCs w:val="32"/>
          <w:lang w:val="en-US" w:eastAsia="zh-CN" w:bidi="ar-SA"/>
        </w:rPr>
      </w:pPr>
      <w:r>
        <w:rPr>
          <w:rFonts w:hint="eastAsia" w:ascii="Times New Roman" w:hAnsi="Times New Roman" w:eastAsia="仿宋" w:cs="仿宋"/>
          <w:b/>
          <w:bCs/>
          <w:smallCaps w:val="0"/>
          <w:snapToGrid w:val="0"/>
          <w:color w:val="auto"/>
          <w:spacing w:val="-4"/>
          <w:kern w:val="0"/>
          <w:sz w:val="32"/>
          <w:szCs w:val="32"/>
          <w:lang w:val="en-US" w:eastAsia="zh-CN" w:bidi="ar-SA"/>
        </w:rPr>
        <w:t>建筑石料：</w:t>
      </w:r>
      <w:r>
        <w:rPr>
          <w:rFonts w:hint="default" w:ascii="Times New Roman" w:hAnsi="Times New Roman" w:eastAsia="仿宋" w:cs="仿宋"/>
          <w:b w:val="0"/>
          <w:bCs w:val="0"/>
          <w:smallCaps w:val="0"/>
          <w:snapToGrid w:val="0"/>
          <w:color w:val="auto"/>
          <w:spacing w:val="-4"/>
          <w:kern w:val="0"/>
          <w:sz w:val="32"/>
          <w:szCs w:val="32"/>
          <w:lang w:val="en-US" w:eastAsia="zh-CN" w:bidi="ar-SA"/>
        </w:rPr>
        <w:t>实行</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r>
        <w:rPr>
          <w:rFonts w:hint="default" w:ascii="Times New Roman" w:hAnsi="Times New Roman" w:eastAsia="仿宋" w:cs="仿宋"/>
          <w:b w:val="0"/>
          <w:bCs w:val="0"/>
          <w:smallCaps w:val="0"/>
          <w:snapToGrid w:val="0"/>
          <w:color w:val="auto"/>
          <w:spacing w:val="-4"/>
          <w:kern w:val="0"/>
          <w:sz w:val="32"/>
          <w:szCs w:val="32"/>
          <w:lang w:val="en-US" w:eastAsia="zh-CN" w:bidi="ar-SA"/>
        </w:rPr>
        <w:t>刚性约束、区域平衡</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r>
        <w:rPr>
          <w:rFonts w:hint="default" w:ascii="Times New Roman" w:hAnsi="Times New Roman" w:eastAsia="仿宋" w:cs="仿宋"/>
          <w:b w:val="0"/>
          <w:bCs w:val="0"/>
          <w:smallCaps w:val="0"/>
          <w:snapToGrid w:val="0"/>
          <w:color w:val="auto"/>
          <w:spacing w:val="-4"/>
          <w:kern w:val="0"/>
          <w:sz w:val="32"/>
          <w:szCs w:val="32"/>
          <w:lang w:val="en-US" w:eastAsia="zh-CN" w:bidi="ar-SA"/>
        </w:rPr>
        <w:t>。根据银川市城市更新、交通水利等重点工程建设需求，原则上依托集中开采区进行供给</w:t>
      </w:r>
      <w:r>
        <w:rPr>
          <w:rFonts w:hint="eastAsia" w:ascii="Times New Roman" w:hAnsi="Times New Roman" w:eastAsia="仿宋" w:cs="仿宋"/>
          <w:b w:val="0"/>
          <w:bCs w:val="0"/>
          <w:smallCaps w:val="0"/>
          <w:snapToGrid w:val="0"/>
          <w:color w:val="auto"/>
          <w:spacing w:val="-4"/>
          <w:kern w:val="0"/>
          <w:sz w:val="32"/>
          <w:szCs w:val="32"/>
          <w:lang w:val="en-US" w:eastAsia="zh-CN" w:bidi="ar-SA"/>
        </w:rPr>
        <w:t>。</w:t>
      </w:r>
    </w:p>
    <w:p w14:paraId="294939F4">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27" w:firstLineChars="200"/>
        <w:jc w:val="both"/>
        <w:textAlignment w:val="baseline"/>
        <w:rPr>
          <w:rFonts w:hint="default" w:ascii="Times New Roman" w:hAnsi="Times New Roman" w:eastAsia="仿宋" w:cs="仿宋"/>
          <w:b w:val="0"/>
          <w:bCs w:val="0"/>
          <w:smallCaps w:val="0"/>
          <w:snapToGrid w:val="0"/>
          <w:color w:val="auto"/>
          <w:spacing w:val="-4"/>
          <w:kern w:val="0"/>
          <w:sz w:val="32"/>
          <w:szCs w:val="32"/>
          <w:lang w:val="en-US" w:eastAsia="zh-CN" w:bidi="ar-SA"/>
        </w:rPr>
      </w:pPr>
      <w:r>
        <w:rPr>
          <w:rFonts w:hint="eastAsia" w:ascii="Times New Roman" w:hAnsi="Times New Roman" w:eastAsia="仿宋" w:cs="仿宋"/>
          <w:b/>
          <w:bCs/>
          <w:smallCaps w:val="0"/>
          <w:snapToGrid w:val="0"/>
          <w:color w:val="auto"/>
          <w:spacing w:val="-4"/>
          <w:kern w:val="0"/>
          <w:sz w:val="32"/>
          <w:szCs w:val="32"/>
          <w:lang w:val="en-US" w:eastAsia="zh-CN" w:bidi="ar-SA"/>
        </w:rPr>
        <w:t>砖瓦用粘土：</w:t>
      </w:r>
      <w:r>
        <w:rPr>
          <w:rFonts w:hint="eastAsia" w:ascii="Times New Roman" w:hAnsi="Times New Roman" w:eastAsia="仿宋" w:cs="仿宋"/>
          <w:b w:val="0"/>
          <w:bCs w:val="0"/>
          <w:smallCaps w:val="0"/>
          <w:snapToGrid w:val="0"/>
          <w:color w:val="auto"/>
          <w:spacing w:val="-4"/>
          <w:kern w:val="0"/>
          <w:sz w:val="32"/>
          <w:szCs w:val="32"/>
          <w:lang w:val="en-US" w:eastAsia="zh-CN" w:bidi="ar-SA"/>
        </w:rPr>
        <w:t>实行“严控总量、逐步退出”策略。规划期坚持最严格的管控政策，全市范围内原则上不再新设砖瓦用粘土采矿权，现有合法矿山实行“到期一个、关闭一个”，逐步压缩开采总量和矿山数量。对确需保留的砖瓦用粘土矿山，必须符合规划区块管控要求。</w:t>
      </w:r>
    </w:p>
    <w:p w14:paraId="5434C023">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（二）科学控制矿山数量</w:t>
      </w:r>
    </w:p>
    <w:p w14:paraId="1F3685BF">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27" w:firstLineChars="200"/>
        <w:jc w:val="both"/>
        <w:textAlignment w:val="baseline"/>
        <w:outlineLvl w:val="9"/>
        <w:rPr>
          <w:rFonts w:hint="default" w:ascii="Times New Roman" w:hAnsi="Times New Roman" w:eastAsia="仿宋" w:cs="仿宋"/>
          <w:b w:val="0"/>
          <w:bCs w:val="0"/>
          <w:smallCaps w:val="0"/>
          <w:snapToGrid w:val="0"/>
          <w:color w:val="auto"/>
          <w:spacing w:val="-4"/>
          <w:kern w:val="0"/>
          <w:sz w:val="32"/>
          <w:szCs w:val="32"/>
          <w:lang w:val="en-US" w:eastAsia="zh-CN" w:bidi="ar-SA"/>
        </w:rPr>
      </w:pPr>
      <w:r>
        <w:rPr>
          <w:rFonts w:hint="default" w:ascii="Times New Roman" w:hAnsi="Times New Roman" w:eastAsia="仿宋" w:cs="仿宋"/>
          <w:b/>
          <w:bCs/>
          <w:smallCaps w:val="0"/>
          <w:snapToGrid w:val="0"/>
          <w:color w:val="auto"/>
          <w:spacing w:val="-4"/>
          <w:kern w:val="0"/>
          <w:sz w:val="32"/>
          <w:szCs w:val="32"/>
          <w:lang w:val="en-US" w:eastAsia="zh-CN" w:bidi="ar-SA"/>
        </w:rPr>
        <w:t>总数目标：</w:t>
      </w:r>
      <w:r>
        <w:rPr>
          <w:rFonts w:hint="eastAsia" w:ascii="Times New Roman" w:hAnsi="Times New Roman" w:eastAsia="仿宋" w:cs="仿宋"/>
          <w:b w:val="0"/>
          <w:bCs w:val="0"/>
          <w:smallCaps w:val="0"/>
          <w:snapToGrid w:val="0"/>
          <w:color w:val="auto"/>
          <w:spacing w:val="-4"/>
          <w:kern w:val="0"/>
          <w:sz w:val="32"/>
          <w:szCs w:val="32"/>
          <w:lang w:val="en-US" w:eastAsia="zh-CN" w:bidi="ar-SA"/>
        </w:rPr>
        <w:t>规划期期间，全市</w:t>
      </w:r>
      <w:r>
        <w:rPr>
          <w:rFonts w:hint="default" w:ascii="Times New Roman" w:hAnsi="Times New Roman" w:eastAsia="仿宋" w:cs="仿宋"/>
          <w:b w:val="0"/>
          <w:bCs w:val="0"/>
          <w:smallCaps w:val="0"/>
          <w:snapToGrid w:val="0"/>
          <w:color w:val="auto"/>
          <w:spacing w:val="-4"/>
          <w:kern w:val="0"/>
          <w:sz w:val="32"/>
          <w:szCs w:val="32"/>
          <w:lang w:val="en-US" w:eastAsia="zh-CN" w:bidi="ar-SA"/>
        </w:rPr>
        <w:t>控制</w:t>
      </w:r>
      <w:r>
        <w:rPr>
          <w:rFonts w:hint="eastAsia" w:ascii="Times New Roman" w:hAnsi="Times New Roman" w:eastAsia="仿宋" w:cs="仿宋"/>
          <w:b w:val="0"/>
          <w:bCs w:val="0"/>
          <w:smallCaps w:val="0"/>
          <w:snapToGrid w:val="0"/>
          <w:color w:val="auto"/>
          <w:spacing w:val="-4"/>
          <w:kern w:val="0"/>
          <w:sz w:val="32"/>
          <w:szCs w:val="32"/>
          <w:lang w:val="en-US" w:eastAsia="zh-CN" w:bidi="ar-SA"/>
        </w:rPr>
        <w:t>矿山企业总数</w:t>
      </w:r>
      <w:r>
        <w:rPr>
          <w:rFonts w:hint="default" w:ascii="Times New Roman" w:hAnsi="Times New Roman" w:eastAsia="仿宋" w:cs="仿宋"/>
          <w:b w:val="0"/>
          <w:bCs w:val="0"/>
          <w:smallCaps w:val="0"/>
          <w:snapToGrid w:val="0"/>
          <w:color w:val="auto"/>
          <w:spacing w:val="-4"/>
          <w:kern w:val="0"/>
          <w:sz w:val="32"/>
          <w:szCs w:val="32"/>
          <w:lang w:val="en-US" w:eastAsia="zh-CN" w:bidi="ar-SA"/>
        </w:rPr>
        <w:t>在</w:t>
      </w:r>
      <w:r>
        <w:rPr>
          <w:rFonts w:hint="eastAsia" w:ascii="Times New Roman" w:hAnsi="Times New Roman" w:eastAsia="仿宋" w:cs="仿宋"/>
          <w:b w:val="0"/>
          <w:bCs w:val="0"/>
          <w:smallCaps w:val="0"/>
          <w:snapToGrid w:val="0"/>
          <w:color w:val="auto"/>
          <w:spacing w:val="-4"/>
          <w:kern w:val="0"/>
          <w:sz w:val="32"/>
          <w:szCs w:val="32"/>
          <w:lang w:val="en-US" w:eastAsia="zh-CN" w:bidi="ar-SA"/>
        </w:rPr>
        <w:t>35</w:t>
      </w:r>
      <w:r>
        <w:rPr>
          <w:rFonts w:hint="default" w:ascii="Times New Roman" w:hAnsi="Times New Roman" w:eastAsia="仿宋" w:cs="仿宋"/>
          <w:b w:val="0"/>
          <w:bCs w:val="0"/>
          <w:smallCaps w:val="0"/>
          <w:snapToGrid w:val="0"/>
          <w:color w:val="auto"/>
          <w:spacing w:val="-4"/>
          <w:kern w:val="0"/>
          <w:sz w:val="32"/>
          <w:szCs w:val="32"/>
          <w:lang w:val="en-US" w:eastAsia="zh-CN" w:bidi="ar-SA"/>
        </w:rPr>
        <w:t>家</w:t>
      </w:r>
      <w:r>
        <w:rPr>
          <w:rFonts w:hint="eastAsia" w:ascii="Times New Roman" w:hAnsi="Times New Roman" w:eastAsia="仿宋" w:cs="仿宋"/>
          <w:b w:val="0"/>
          <w:bCs w:val="0"/>
          <w:smallCaps w:val="0"/>
          <w:snapToGrid w:val="0"/>
          <w:color w:val="auto"/>
          <w:spacing w:val="-4"/>
          <w:kern w:val="0"/>
          <w:sz w:val="32"/>
          <w:szCs w:val="32"/>
          <w:lang w:val="en-US" w:eastAsia="zh-CN" w:bidi="ar-SA"/>
        </w:rPr>
        <w:t>左右，实现矿山数量合理管控、布局优化</w:t>
      </w:r>
      <w:r>
        <w:rPr>
          <w:rFonts w:hint="default" w:ascii="Times New Roman" w:hAnsi="Times New Roman" w:eastAsia="仿宋" w:cs="仿宋"/>
          <w:b w:val="0"/>
          <w:bCs w:val="0"/>
          <w:smallCaps w:val="0"/>
          <w:snapToGrid w:val="0"/>
          <w:color w:val="auto"/>
          <w:spacing w:val="-4"/>
          <w:kern w:val="0"/>
          <w:sz w:val="32"/>
          <w:szCs w:val="32"/>
          <w:lang w:val="en-US" w:eastAsia="zh-CN" w:bidi="ar-SA"/>
        </w:rPr>
        <w:t>。</w:t>
      </w:r>
    </w:p>
    <w:p w14:paraId="652E0087">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27" w:firstLineChars="200"/>
        <w:jc w:val="both"/>
        <w:textAlignment w:val="baseline"/>
        <w:outlineLvl w:val="9"/>
        <w:rPr>
          <w:rFonts w:hint="default" w:ascii="Times New Roman" w:hAnsi="Times New Roman" w:eastAsia="仿宋" w:cs="仿宋"/>
          <w:b w:val="0"/>
          <w:bCs w:val="0"/>
          <w:smallCaps w:val="0"/>
          <w:snapToGrid w:val="0"/>
          <w:color w:val="auto"/>
          <w:spacing w:val="-4"/>
          <w:kern w:val="0"/>
          <w:sz w:val="32"/>
          <w:szCs w:val="32"/>
          <w:lang w:val="en-US" w:eastAsia="zh-CN" w:bidi="ar-SA"/>
        </w:rPr>
      </w:pPr>
      <w:r>
        <w:rPr>
          <w:rFonts w:hint="default" w:ascii="Times New Roman" w:hAnsi="Times New Roman" w:eastAsia="仿宋" w:cs="仿宋"/>
          <w:b/>
          <w:bCs/>
          <w:smallCaps w:val="0"/>
          <w:snapToGrid w:val="0"/>
          <w:color w:val="auto"/>
          <w:spacing w:val="-4"/>
          <w:kern w:val="0"/>
          <w:sz w:val="32"/>
          <w:szCs w:val="32"/>
          <w:lang w:val="en-US" w:eastAsia="zh-CN" w:bidi="ar-SA"/>
        </w:rPr>
        <w:t>结构目标：</w:t>
      </w:r>
      <w:r>
        <w:rPr>
          <w:rFonts w:hint="eastAsia" w:ascii="Times New Roman" w:hAnsi="Times New Roman" w:eastAsia="仿宋" w:cs="仿宋"/>
          <w:b w:val="0"/>
          <w:bCs w:val="0"/>
          <w:smallCaps w:val="0"/>
          <w:snapToGrid w:val="0"/>
          <w:color w:val="auto"/>
          <w:spacing w:val="-4"/>
          <w:kern w:val="0"/>
          <w:sz w:val="32"/>
          <w:szCs w:val="32"/>
          <w:lang w:val="en-US" w:eastAsia="zh-CN" w:bidi="ar-SA"/>
        </w:rPr>
        <w:t>保持规划期全市大中型矿山100</w:t>
      </w:r>
      <w:r>
        <w:rPr>
          <w:rFonts w:hint="default" w:ascii="Times New Roman" w:hAnsi="Times New Roman" w:eastAsia="仿宋" w:cs="仿宋"/>
          <w:b w:val="0"/>
          <w:bCs w:val="0"/>
          <w:smallCaps w:val="0"/>
          <w:snapToGrid w:val="0"/>
          <w:color w:val="auto"/>
          <w:spacing w:val="-4"/>
          <w:kern w:val="0"/>
          <w:sz w:val="32"/>
          <w:szCs w:val="32"/>
          <w:lang w:val="en-US" w:eastAsia="zh-CN" w:bidi="ar-SA"/>
        </w:rPr>
        <w:t>%的</w:t>
      </w:r>
      <w:r>
        <w:rPr>
          <w:rFonts w:hint="eastAsia" w:ascii="Times New Roman" w:hAnsi="Times New Roman" w:eastAsia="仿宋" w:cs="仿宋"/>
          <w:b w:val="0"/>
          <w:bCs w:val="0"/>
          <w:smallCaps w:val="0"/>
          <w:snapToGrid w:val="0"/>
          <w:color w:val="auto"/>
          <w:spacing w:val="-4"/>
          <w:kern w:val="0"/>
          <w:sz w:val="32"/>
          <w:szCs w:val="32"/>
          <w:lang w:val="en-US" w:eastAsia="zh-CN" w:bidi="ar-SA"/>
        </w:rPr>
        <w:t>比例，推动矿业向规模化、集约化方向发展。</w:t>
      </w:r>
    </w:p>
    <w:p w14:paraId="645231BD">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27" w:firstLineChars="200"/>
        <w:jc w:val="both"/>
        <w:textAlignment w:val="baseline"/>
        <w:outlineLvl w:val="9"/>
        <w:rPr>
          <w:rFonts w:hint="default" w:ascii="Times New Roman" w:hAnsi="Times New Roman" w:eastAsia="仿宋" w:cs="仿宋"/>
          <w:b w:val="0"/>
          <w:bCs w:val="0"/>
          <w:smallCaps w:val="0"/>
          <w:snapToGrid w:val="0"/>
          <w:color w:val="auto"/>
          <w:spacing w:val="-4"/>
          <w:kern w:val="0"/>
          <w:sz w:val="32"/>
          <w:szCs w:val="32"/>
          <w:lang w:val="en-US" w:eastAsia="zh-CN" w:bidi="ar-SA"/>
        </w:rPr>
      </w:pPr>
      <w:r>
        <w:rPr>
          <w:rFonts w:hint="default" w:ascii="Times New Roman" w:hAnsi="Times New Roman" w:eastAsia="仿宋" w:cs="仿宋"/>
          <w:b/>
          <w:bCs/>
          <w:smallCaps w:val="0"/>
          <w:snapToGrid w:val="0"/>
          <w:color w:val="auto"/>
          <w:spacing w:val="-4"/>
          <w:kern w:val="0"/>
          <w:sz w:val="32"/>
          <w:szCs w:val="32"/>
          <w:lang w:val="en-US" w:eastAsia="zh-CN" w:bidi="ar-SA"/>
        </w:rPr>
        <w:t>推进资源整合：</w:t>
      </w:r>
      <w:r>
        <w:rPr>
          <w:rFonts w:hint="default" w:ascii="Times New Roman" w:hAnsi="Times New Roman" w:eastAsia="仿宋" w:cs="仿宋"/>
          <w:b w:val="0"/>
          <w:bCs w:val="0"/>
          <w:smallCaps w:val="0"/>
          <w:snapToGrid w:val="0"/>
          <w:color w:val="auto"/>
          <w:spacing w:val="-4"/>
          <w:kern w:val="0"/>
          <w:sz w:val="32"/>
          <w:szCs w:val="32"/>
          <w:lang w:val="en-US" w:eastAsia="zh-CN" w:bidi="ar-SA"/>
        </w:rPr>
        <w:t>对同一矿体多个开采主体、同一集中开采区内布局不合理的砂石矿山，强制实施资源整合，实现一个采矿权对应一个完整的开发主体。</w:t>
      </w:r>
    </w:p>
    <w:p w14:paraId="452EF021">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40" w:firstLineChars="200"/>
        <w:jc w:val="both"/>
        <w:textAlignment w:val="baseline"/>
        <w:outlineLvl w:val="1"/>
        <w:rPr>
          <w:rFonts w:hint="eastAsia" w:ascii="黑体" w:hAnsi="黑体" w:eastAsia="黑体" w:cs="黑体"/>
          <w:smallCaps w:val="0"/>
          <w:color w:val="auto"/>
          <w:sz w:val="32"/>
          <w:szCs w:val="32"/>
          <w:lang w:val="en-US" w:eastAsia="zh-CN"/>
        </w:rPr>
      </w:pPr>
      <w:bookmarkStart w:id="22" w:name="_Toc14188"/>
      <w:r>
        <w:rPr>
          <w:rFonts w:hint="eastAsia" w:ascii="黑体" w:hAnsi="黑体" w:eastAsia="黑体" w:cs="黑体"/>
          <w:smallCaps w:val="0"/>
          <w:color w:val="auto"/>
          <w:sz w:val="32"/>
          <w:szCs w:val="32"/>
          <w:lang w:val="en-US" w:eastAsia="zh-CN"/>
        </w:rPr>
        <w:t>三、优化开发利用结构</w:t>
      </w:r>
      <w:bookmarkEnd w:id="22"/>
    </w:p>
    <w:p w14:paraId="15B4F6C2">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（一）优化产品结构</w:t>
      </w:r>
    </w:p>
    <w:p w14:paraId="2B0A858E">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24" w:firstLineChars="200"/>
        <w:jc w:val="both"/>
        <w:textAlignment w:val="baseline"/>
        <w:outlineLvl w:val="9"/>
        <w:rPr>
          <w:rFonts w:hint="default" w:ascii="Times New Roman" w:hAnsi="Times New Roman" w:eastAsia="仿宋" w:cs="Times New Roman"/>
          <w:b w:val="0"/>
          <w:bCs w:val="0"/>
          <w:smallCaps w:val="0"/>
          <w:snapToGrid w:val="0"/>
          <w:color w:val="auto"/>
          <w:spacing w:val="-4"/>
          <w:kern w:val="0"/>
          <w:sz w:val="32"/>
          <w:szCs w:val="32"/>
          <w:lang w:val="en-US" w:eastAsia="zh-CN" w:bidi="ar-SA"/>
        </w:rPr>
      </w:pPr>
      <w:r>
        <w:rPr>
          <w:rFonts w:hint="default" w:ascii="Times New Roman" w:hAnsi="Times New Roman" w:eastAsia="仿宋" w:cs="Times New Roman"/>
          <w:b w:val="0"/>
          <w:bCs w:val="0"/>
          <w:smallCaps w:val="0"/>
          <w:snapToGrid w:val="0"/>
          <w:color w:val="auto"/>
          <w:spacing w:val="-4"/>
          <w:kern w:val="0"/>
          <w:sz w:val="32"/>
          <w:szCs w:val="32"/>
          <w:lang w:val="en-US" w:eastAsia="zh-CN" w:bidi="ar-SA"/>
        </w:rPr>
        <w:t>做强煤炭精深加工，重点保障宁东能源化工基地原料需求。延伸非金属矿产产业链，水泥用灰岩向特种水泥、碳酸钙粉体等方向延伸，建筑</w:t>
      </w:r>
      <w:r>
        <w:rPr>
          <w:rFonts w:hint="eastAsia" w:ascii="Times New Roman" w:hAnsi="Times New Roman" w:eastAsia="仿宋" w:cs="Times New Roman"/>
          <w:b w:val="0"/>
          <w:bCs w:val="0"/>
          <w:smallCaps w:val="0"/>
          <w:snapToGrid w:val="0"/>
          <w:color w:val="auto"/>
          <w:spacing w:val="-4"/>
          <w:kern w:val="0"/>
          <w:sz w:val="32"/>
          <w:szCs w:val="32"/>
          <w:lang w:val="en-US" w:eastAsia="zh-CN" w:bidi="ar-SA"/>
        </w:rPr>
        <w:t>石料</w:t>
      </w:r>
      <w:r>
        <w:rPr>
          <w:rFonts w:hint="default" w:ascii="Times New Roman" w:hAnsi="Times New Roman" w:eastAsia="仿宋" w:cs="Times New Roman"/>
          <w:b w:val="0"/>
          <w:bCs w:val="0"/>
          <w:smallCaps w:val="0"/>
          <w:snapToGrid w:val="0"/>
          <w:color w:val="auto"/>
          <w:spacing w:val="-4"/>
          <w:kern w:val="0"/>
          <w:sz w:val="32"/>
          <w:szCs w:val="32"/>
          <w:lang w:val="en-US" w:eastAsia="zh-CN" w:bidi="ar-SA"/>
        </w:rPr>
        <w:t>向机制砂、高性能混凝土骨料转型。鼓励利用煤矸石、粉煤灰等固废生产新型墙体材料，替代粘土资源消耗。</w:t>
      </w:r>
      <w:r>
        <w:rPr>
          <w:rFonts w:hint="eastAsia" w:ascii="Times New Roman" w:hAnsi="Times New Roman" w:eastAsia="仿宋" w:cs="Times New Roman"/>
          <w:b w:val="0"/>
          <w:bCs w:val="0"/>
          <w:smallCaps w:val="0"/>
          <w:snapToGrid w:val="0"/>
          <w:color w:val="auto"/>
          <w:spacing w:val="-4"/>
          <w:kern w:val="0"/>
          <w:sz w:val="32"/>
          <w:szCs w:val="32"/>
          <w:lang w:val="en-US" w:eastAsia="zh-CN" w:bidi="ar-SA"/>
        </w:rPr>
        <w:t>加快地热资源开发利用</w:t>
      </w:r>
      <w:r>
        <w:rPr>
          <w:rFonts w:hint="default" w:ascii="Times New Roman" w:hAnsi="Times New Roman" w:eastAsia="仿宋" w:cs="Times New Roman"/>
          <w:b w:val="0"/>
          <w:bCs w:val="0"/>
          <w:smallCaps w:val="0"/>
          <w:snapToGrid w:val="0"/>
          <w:color w:val="auto"/>
          <w:spacing w:val="-4"/>
          <w:kern w:val="0"/>
          <w:sz w:val="32"/>
          <w:szCs w:val="32"/>
          <w:lang w:val="en-US" w:eastAsia="zh-CN" w:bidi="ar-SA"/>
        </w:rPr>
        <w:t>，探索</w:t>
      </w:r>
      <w:r>
        <w:rPr>
          <w:rFonts w:hint="eastAsia" w:ascii="Times New Roman" w:hAnsi="Times New Roman" w:eastAsia="仿宋" w:cs="Times New Roman"/>
          <w:b w:val="0"/>
          <w:bCs w:val="0"/>
          <w:smallCaps w:val="0"/>
          <w:snapToGrid w:val="0"/>
          <w:color w:val="auto"/>
          <w:spacing w:val="-4"/>
          <w:kern w:val="0"/>
          <w:sz w:val="32"/>
          <w:szCs w:val="32"/>
          <w:lang w:val="en-US" w:eastAsia="zh-CN" w:bidi="ar-SA"/>
        </w:rPr>
        <w:t>“</w:t>
      </w:r>
      <w:r>
        <w:rPr>
          <w:rFonts w:hint="default" w:ascii="Times New Roman" w:hAnsi="Times New Roman" w:eastAsia="仿宋" w:cs="Times New Roman"/>
          <w:b w:val="0"/>
          <w:bCs w:val="0"/>
          <w:smallCaps w:val="0"/>
          <w:snapToGrid w:val="0"/>
          <w:color w:val="auto"/>
          <w:spacing w:val="-4"/>
          <w:kern w:val="0"/>
          <w:sz w:val="32"/>
          <w:szCs w:val="32"/>
          <w:lang w:val="en-US" w:eastAsia="zh-CN" w:bidi="ar-SA"/>
        </w:rPr>
        <w:t>地热+</w:t>
      </w:r>
      <w:r>
        <w:rPr>
          <w:rFonts w:hint="eastAsia" w:ascii="Times New Roman" w:hAnsi="Times New Roman" w:eastAsia="仿宋" w:cs="Times New Roman"/>
          <w:b w:val="0"/>
          <w:bCs w:val="0"/>
          <w:smallCaps w:val="0"/>
          <w:snapToGrid w:val="0"/>
          <w:color w:val="auto"/>
          <w:spacing w:val="-4"/>
          <w:kern w:val="0"/>
          <w:sz w:val="32"/>
          <w:szCs w:val="32"/>
          <w:lang w:val="en-US" w:eastAsia="zh-CN" w:bidi="ar-SA"/>
        </w:rPr>
        <w:t>设施农业”</w:t>
      </w:r>
      <w:r>
        <w:rPr>
          <w:rFonts w:hint="default" w:ascii="Times New Roman" w:hAnsi="Times New Roman" w:eastAsia="仿宋" w:cs="Times New Roman"/>
          <w:b w:val="0"/>
          <w:bCs w:val="0"/>
          <w:smallCaps w:val="0"/>
          <w:snapToGrid w:val="0"/>
          <w:color w:val="auto"/>
          <w:spacing w:val="-4"/>
          <w:kern w:val="0"/>
          <w:sz w:val="32"/>
          <w:szCs w:val="32"/>
          <w:lang w:val="en-US" w:eastAsia="zh-CN" w:bidi="ar-SA"/>
        </w:rPr>
        <w:t>、</w:t>
      </w:r>
      <w:r>
        <w:rPr>
          <w:rFonts w:hint="eastAsia" w:ascii="Times New Roman" w:hAnsi="Times New Roman" w:eastAsia="仿宋" w:cs="Times New Roman"/>
          <w:b w:val="0"/>
          <w:bCs w:val="0"/>
          <w:smallCaps w:val="0"/>
          <w:snapToGrid w:val="0"/>
          <w:color w:val="auto"/>
          <w:spacing w:val="-4"/>
          <w:kern w:val="0"/>
          <w:sz w:val="32"/>
          <w:szCs w:val="32"/>
          <w:lang w:val="en-US" w:eastAsia="zh-CN" w:bidi="ar-SA"/>
        </w:rPr>
        <w:t>“</w:t>
      </w:r>
      <w:r>
        <w:rPr>
          <w:rFonts w:hint="default" w:ascii="Times New Roman" w:hAnsi="Times New Roman" w:eastAsia="仿宋" w:cs="Times New Roman"/>
          <w:b w:val="0"/>
          <w:bCs w:val="0"/>
          <w:smallCaps w:val="0"/>
          <w:snapToGrid w:val="0"/>
          <w:color w:val="auto"/>
          <w:spacing w:val="-4"/>
          <w:kern w:val="0"/>
          <w:sz w:val="32"/>
          <w:szCs w:val="32"/>
          <w:lang w:val="en-US" w:eastAsia="zh-CN" w:bidi="ar-SA"/>
        </w:rPr>
        <w:t>地热+</w:t>
      </w:r>
      <w:r>
        <w:rPr>
          <w:rFonts w:hint="eastAsia" w:ascii="Times New Roman" w:hAnsi="Times New Roman" w:eastAsia="仿宋" w:cs="Times New Roman"/>
          <w:b w:val="0"/>
          <w:bCs w:val="0"/>
          <w:smallCaps w:val="0"/>
          <w:snapToGrid w:val="0"/>
          <w:color w:val="auto"/>
          <w:spacing w:val="-4"/>
          <w:kern w:val="0"/>
          <w:sz w:val="32"/>
          <w:szCs w:val="32"/>
          <w:lang w:val="en-US" w:eastAsia="zh-CN" w:bidi="ar-SA"/>
        </w:rPr>
        <w:t>清洁供暖”</w:t>
      </w:r>
      <w:r>
        <w:rPr>
          <w:rFonts w:hint="default" w:ascii="Times New Roman" w:hAnsi="Times New Roman" w:eastAsia="仿宋" w:cs="Times New Roman"/>
          <w:b w:val="0"/>
          <w:bCs w:val="0"/>
          <w:smallCaps w:val="0"/>
          <w:snapToGrid w:val="0"/>
          <w:color w:val="auto"/>
          <w:spacing w:val="-4"/>
          <w:kern w:val="0"/>
          <w:sz w:val="32"/>
          <w:szCs w:val="32"/>
          <w:lang w:val="en-US" w:eastAsia="zh-CN" w:bidi="ar-SA"/>
        </w:rPr>
        <w:t>、</w:t>
      </w:r>
      <w:r>
        <w:rPr>
          <w:rFonts w:hint="eastAsia" w:ascii="Times New Roman" w:hAnsi="Times New Roman" w:eastAsia="仿宋" w:cs="Times New Roman"/>
          <w:b w:val="0"/>
          <w:bCs w:val="0"/>
          <w:smallCaps w:val="0"/>
          <w:snapToGrid w:val="0"/>
          <w:color w:val="auto"/>
          <w:spacing w:val="-4"/>
          <w:kern w:val="0"/>
          <w:sz w:val="32"/>
          <w:szCs w:val="32"/>
          <w:lang w:val="en-US" w:eastAsia="zh-CN" w:bidi="ar-SA"/>
        </w:rPr>
        <w:t>“</w:t>
      </w:r>
      <w:r>
        <w:rPr>
          <w:rFonts w:hint="default" w:ascii="Times New Roman" w:hAnsi="Times New Roman" w:eastAsia="仿宋" w:cs="Times New Roman"/>
          <w:b w:val="0"/>
          <w:bCs w:val="0"/>
          <w:smallCaps w:val="0"/>
          <w:snapToGrid w:val="0"/>
          <w:color w:val="auto"/>
          <w:spacing w:val="-4"/>
          <w:kern w:val="0"/>
          <w:sz w:val="32"/>
          <w:szCs w:val="32"/>
          <w:lang w:val="en-US" w:eastAsia="zh-CN" w:bidi="ar-SA"/>
        </w:rPr>
        <w:t>地热+</w:t>
      </w:r>
      <w:r>
        <w:rPr>
          <w:rFonts w:hint="eastAsia" w:ascii="Times New Roman" w:hAnsi="Times New Roman" w:eastAsia="仿宋" w:cs="Times New Roman"/>
          <w:b w:val="0"/>
          <w:bCs w:val="0"/>
          <w:smallCaps w:val="0"/>
          <w:snapToGrid w:val="0"/>
          <w:color w:val="auto"/>
          <w:spacing w:val="-4"/>
          <w:kern w:val="0"/>
          <w:sz w:val="32"/>
          <w:szCs w:val="32"/>
          <w:lang w:val="en-US" w:eastAsia="zh-CN" w:bidi="ar-SA"/>
        </w:rPr>
        <w:t>旅游康养”</w:t>
      </w:r>
      <w:r>
        <w:rPr>
          <w:rFonts w:hint="default" w:ascii="Times New Roman" w:hAnsi="Times New Roman" w:eastAsia="仿宋" w:cs="Times New Roman"/>
          <w:b w:val="0"/>
          <w:bCs w:val="0"/>
          <w:smallCaps w:val="0"/>
          <w:snapToGrid w:val="0"/>
          <w:color w:val="auto"/>
          <w:spacing w:val="-4"/>
          <w:kern w:val="0"/>
          <w:sz w:val="32"/>
          <w:szCs w:val="32"/>
          <w:lang w:val="en-US" w:eastAsia="zh-CN" w:bidi="ar-SA"/>
        </w:rPr>
        <w:t>的利用</w:t>
      </w:r>
      <w:r>
        <w:rPr>
          <w:rFonts w:hint="eastAsia" w:ascii="Times New Roman" w:hAnsi="Times New Roman" w:eastAsia="仿宋" w:cs="Times New Roman"/>
          <w:b w:val="0"/>
          <w:bCs w:val="0"/>
          <w:smallCaps w:val="0"/>
          <w:snapToGrid w:val="0"/>
          <w:color w:val="auto"/>
          <w:spacing w:val="-4"/>
          <w:kern w:val="0"/>
          <w:sz w:val="32"/>
          <w:szCs w:val="32"/>
          <w:lang w:val="en-US" w:eastAsia="zh-CN" w:bidi="ar-SA"/>
        </w:rPr>
        <w:t>模式，同时探索地热与公共建筑、生态养殖、工业余热利用等领域耦合发展，全面提升地热资源利用效率与综合效益</w:t>
      </w:r>
      <w:r>
        <w:rPr>
          <w:rFonts w:hint="default" w:ascii="Times New Roman" w:hAnsi="Times New Roman" w:eastAsia="仿宋" w:cs="Times New Roman"/>
          <w:b w:val="0"/>
          <w:bCs w:val="0"/>
          <w:smallCaps w:val="0"/>
          <w:snapToGrid w:val="0"/>
          <w:color w:val="auto"/>
          <w:spacing w:val="-4"/>
          <w:kern w:val="0"/>
          <w:sz w:val="32"/>
          <w:szCs w:val="32"/>
          <w:lang w:val="en-US" w:eastAsia="zh-CN" w:bidi="ar-SA"/>
        </w:rPr>
        <w:t>。</w:t>
      </w:r>
    </w:p>
    <w:p w14:paraId="33AC6A3C">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（二）优化技术结构</w:t>
      </w:r>
    </w:p>
    <w:p w14:paraId="69963402">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24" w:firstLineChars="200"/>
        <w:jc w:val="both"/>
        <w:textAlignment w:val="baseline"/>
        <w:outlineLvl w:val="9"/>
        <w:rPr>
          <w:rFonts w:hint="eastAsia" w:ascii="Times New Roman" w:hAnsi="Times New Roman" w:eastAsia="仿宋" w:cs="仿宋"/>
          <w:b w:val="0"/>
          <w:bCs w:val="0"/>
          <w:smallCaps w:val="0"/>
          <w:snapToGrid w:val="0"/>
          <w:color w:val="auto"/>
          <w:spacing w:val="-4"/>
          <w:kern w:val="0"/>
          <w:sz w:val="32"/>
          <w:szCs w:val="32"/>
          <w:lang w:val="en-US" w:eastAsia="zh-CN" w:bidi="ar-SA"/>
        </w:rPr>
      </w:pPr>
      <w:r>
        <w:rPr>
          <w:rFonts w:hint="eastAsia" w:ascii="Times New Roman" w:hAnsi="Times New Roman" w:eastAsia="仿宋" w:cs="仿宋"/>
          <w:b w:val="0"/>
          <w:bCs w:val="0"/>
          <w:smallCaps w:val="0"/>
          <w:snapToGrid w:val="0"/>
          <w:color w:val="auto"/>
          <w:spacing w:val="-4"/>
          <w:kern w:val="0"/>
          <w:sz w:val="32"/>
          <w:szCs w:val="32"/>
          <w:lang w:val="en-US" w:eastAsia="zh-CN" w:bidi="ar-SA"/>
        </w:rPr>
        <w:t>推进矿山智能化建设，推广应用三维地质建模、数字化采矿、智能调度等系统，重点矿山逐步建成智能化矿山。推广充填开采、保水开采等绿色开采技术，建筑用砂推广干法生产工艺。鼓励矿山企业与高校、科研院所开展产学研合作，围绕共伴生矿产回收、固废资源化等关键技术开展攻关。</w:t>
      </w:r>
    </w:p>
    <w:p w14:paraId="593DB6FD">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（三）强化节约与综合利用</w:t>
      </w:r>
    </w:p>
    <w:p w14:paraId="7339E5C0">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24" w:firstLineChars="200"/>
        <w:jc w:val="both"/>
        <w:textAlignment w:val="baseline"/>
        <w:outlineLvl w:val="9"/>
        <w:rPr>
          <w:rFonts w:hint="eastAsia" w:ascii="Times New Roman" w:hAnsi="Times New Roman" w:eastAsia="仿宋" w:cs="仿宋"/>
          <w:b w:val="0"/>
          <w:bCs w:val="0"/>
          <w:smallCaps w:val="0"/>
          <w:snapToGrid w:val="0"/>
          <w:color w:val="auto"/>
          <w:spacing w:val="-4"/>
          <w:kern w:val="0"/>
          <w:sz w:val="32"/>
          <w:szCs w:val="32"/>
          <w:lang w:val="en-US" w:eastAsia="zh-CN" w:bidi="ar-SA"/>
        </w:rPr>
      </w:pPr>
      <w:r>
        <w:rPr>
          <w:rFonts w:hint="eastAsia" w:ascii="Times New Roman" w:hAnsi="Times New Roman" w:eastAsia="仿宋" w:cs="仿宋"/>
          <w:b w:val="0"/>
          <w:bCs w:val="0"/>
          <w:smallCaps w:val="0"/>
          <w:snapToGrid w:val="0"/>
          <w:color w:val="auto"/>
          <w:spacing w:val="-4"/>
          <w:kern w:val="0"/>
          <w:sz w:val="32"/>
          <w:szCs w:val="32"/>
          <w:lang w:val="en-US" w:eastAsia="zh-CN" w:bidi="ar-SA"/>
        </w:rPr>
        <w:t>严格执行开采回采率、选矿回收率、综合利用率“三率”指标要求，规划期内全市主要矿山“三率”达标。加强煤炭共伴生矿产的综合回收利用，推进水泥用灰岩剥离废石用于骨料生产。推动煤矸石、粉煤灰、尾矿等固废在充填开采、筑路、建材等领域的大宗利用。将“三率”指标与矿业权延续、变更等审批事项挂钩，建立激励约束机制。</w:t>
      </w:r>
    </w:p>
    <w:p w14:paraId="4FC68816">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23" w:name="_Toc22153"/>
      <w:r>
        <w:rPr>
          <w:rFonts w:hint="eastAsia" w:ascii="黑体" w:hAnsi="黑体" w:eastAsia="黑体" w:cs="黑体"/>
          <w:b w:val="0"/>
          <w:bCs w:val="0"/>
          <w:smallCaps w:val="0"/>
          <w:color w:val="auto"/>
          <w:sz w:val="32"/>
          <w:szCs w:val="32"/>
          <w:lang w:val="en-US" w:eastAsia="zh-CN"/>
        </w:rPr>
        <w:t>四、严格规划准入管理</w:t>
      </w:r>
      <w:bookmarkEnd w:id="23"/>
    </w:p>
    <w:p w14:paraId="64104666">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（一）绿色勘查</w:t>
      </w:r>
    </w:p>
    <w:p w14:paraId="1C3789FE">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 w:cs="仿宋"/>
          <w:b w:val="0"/>
          <w:bCs w:val="0"/>
          <w:smallCaps w:val="0"/>
          <w:color w:val="auto"/>
          <w:spacing w:val="-4"/>
          <w:sz w:val="32"/>
          <w:szCs w:val="32"/>
        </w:rPr>
      </w:pPr>
      <w:r>
        <w:rPr>
          <w:rFonts w:hint="eastAsia" w:ascii="Times New Roman" w:hAnsi="Times New Roman" w:eastAsia="仿宋" w:cs="仿宋"/>
          <w:b w:val="0"/>
          <w:bCs w:val="0"/>
          <w:smallCaps w:val="0"/>
          <w:color w:val="auto"/>
          <w:spacing w:val="-4"/>
          <w:sz w:val="32"/>
          <w:szCs w:val="32"/>
        </w:rPr>
        <w:t>将绿色勘查理念贯穿地质勘查工作的全过程。编制项目设计书时，必须增加“绿色勘查”的有关内容；地勘项目实施时，对绿色勘查进行科学合理的安排部署，对落实绿色勘查的施工方法、采取措施、实施成效及监督管理等全过程进行详细记录，形成绿色勘查专项资料；将绿色勘查工作情况作为地质勘查项目验收的一项基本条件，对绿色勘查实施后产生的环境效益及和谐勘查情况等进行综合效果评价。</w:t>
      </w:r>
    </w:p>
    <w:p w14:paraId="4EB055C5">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（二）开采规模</w:t>
      </w:r>
    </w:p>
    <w:p w14:paraId="037D1EC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rPr>
      </w:pPr>
      <w:r>
        <w:rPr>
          <w:rFonts w:hint="eastAsia" w:ascii="Times New Roman" w:hAnsi="Times New Roman" w:eastAsia="仿宋" w:cs="仿宋"/>
          <w:b w:val="0"/>
          <w:bCs w:val="0"/>
          <w:smallCaps w:val="0"/>
          <w:color w:val="auto"/>
          <w:spacing w:val="-4"/>
          <w:sz w:val="32"/>
          <w:szCs w:val="32"/>
        </w:rPr>
        <w:t>坚决落实产能调控与规模准入红线，严控新增煤炭产能，规划期内</w:t>
      </w:r>
      <w:r>
        <w:rPr>
          <w:rFonts w:hint="eastAsia" w:ascii="Times New Roman" w:hAnsi="Times New Roman" w:eastAsia="仿宋" w:cs="仿宋"/>
          <w:b w:val="0"/>
          <w:bCs w:val="0"/>
          <w:smallCaps w:val="0"/>
          <w:color w:val="auto"/>
          <w:spacing w:val="-4"/>
          <w:sz w:val="32"/>
          <w:szCs w:val="32"/>
          <w:lang w:val="en-US" w:eastAsia="zh-CN"/>
        </w:rPr>
        <w:t>原则上</w:t>
      </w:r>
      <w:r>
        <w:rPr>
          <w:rFonts w:hint="eastAsia" w:ascii="Times New Roman" w:hAnsi="Times New Roman" w:eastAsia="仿宋" w:cs="仿宋"/>
          <w:b w:val="0"/>
          <w:bCs w:val="0"/>
          <w:smallCaps w:val="0"/>
          <w:color w:val="auto"/>
          <w:spacing w:val="-4"/>
          <w:sz w:val="32"/>
          <w:szCs w:val="32"/>
        </w:rPr>
        <w:t>不再批准新建露天煤矿。新建非煤矿山必须严格符合《宁夏回族自治区非煤矿山最低生产建设规模及服务年限标准（修订）》，确保符合绿色矿山建设、生态环境保护和国家产业政策要求。</w:t>
      </w:r>
    </w:p>
    <w:p w14:paraId="2B35D29B">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（三）开发利用水平</w:t>
      </w:r>
    </w:p>
    <w:p w14:paraId="16453AA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4" w:firstLineChars="200"/>
        <w:jc w:val="both"/>
        <w:textAlignment w:val="baseline"/>
        <w:rPr>
          <w:rFonts w:hint="eastAsia" w:ascii="Times New Roman" w:hAnsi="Times New Roman" w:eastAsia="仿宋" w:cs="仿宋"/>
          <w:b w:val="0"/>
          <w:bCs w:val="0"/>
          <w:smallCaps w:val="0"/>
          <w:color w:val="auto"/>
          <w:spacing w:val="-4"/>
          <w:sz w:val="32"/>
          <w:szCs w:val="32"/>
        </w:rPr>
      </w:pPr>
      <w:r>
        <w:rPr>
          <w:rFonts w:hint="eastAsia" w:ascii="Times New Roman" w:hAnsi="Times New Roman" w:eastAsia="仿宋" w:cs="仿宋"/>
          <w:b w:val="0"/>
          <w:bCs w:val="0"/>
          <w:smallCaps w:val="0"/>
          <w:color w:val="auto"/>
          <w:spacing w:val="-4"/>
          <w:sz w:val="32"/>
          <w:szCs w:val="32"/>
        </w:rPr>
        <w:t>强化矿产资源节约集约利用，严格落实</w:t>
      </w:r>
      <w:r>
        <w:rPr>
          <w:rFonts w:hint="eastAsia" w:ascii="Times New Roman" w:hAnsi="Times New Roman" w:eastAsia="仿宋" w:cs="仿宋"/>
          <w:b w:val="0"/>
          <w:bCs w:val="0"/>
          <w:smallCaps w:val="0"/>
          <w:color w:val="auto"/>
          <w:spacing w:val="-4"/>
          <w:sz w:val="32"/>
          <w:szCs w:val="32"/>
          <w:lang w:val="en-US" w:eastAsia="zh-CN"/>
        </w:rPr>
        <w:t>自治区</w:t>
      </w:r>
      <w:r>
        <w:rPr>
          <w:rFonts w:hint="eastAsia" w:ascii="Times New Roman" w:hAnsi="Times New Roman" w:eastAsia="仿宋" w:cs="仿宋"/>
          <w:b w:val="0"/>
          <w:bCs w:val="0"/>
          <w:smallCaps w:val="0"/>
          <w:color w:val="auto"/>
          <w:spacing w:val="-4"/>
          <w:sz w:val="32"/>
          <w:szCs w:val="32"/>
        </w:rPr>
        <w:t>矿产资源规划及节能节矿相关政策要求。规划期内，新建矿山“三率”水平必须严格达到批准的矿山设计或矿产资源开发利用方案规定标准，且符合相关技术规范，从源头筑牢资源高效利用底线。对已生产矿山实施“三率”水平动态提升行动，建立健全“三率”达标台账，推广先进适用开采利用技术，推动已生产矿山“三率”水平稳步提升。</w:t>
      </w:r>
    </w:p>
    <w:p w14:paraId="5DAC129B">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（四）</w:t>
      </w:r>
      <w:r>
        <w:rPr>
          <w:rFonts w:hint="default" w:ascii="楷体" w:hAnsi="楷体" w:eastAsia="楷体" w:cs="楷体"/>
          <w:b/>
          <w:bCs w:val="0"/>
          <w:smallCaps w:val="0"/>
          <w:snapToGrid/>
          <w:color w:val="auto"/>
          <w:kern w:val="2"/>
          <w:sz w:val="32"/>
          <w:szCs w:val="32"/>
          <w:lang w:val="en-US" w:eastAsia="en-US" w:bidi="ar-SA"/>
        </w:rPr>
        <w:t>绿色矿山建设</w:t>
      </w:r>
    </w:p>
    <w:p w14:paraId="51770D06">
      <w:pPr>
        <w:pStyle w:val="14"/>
        <w:keepNext w:val="0"/>
        <w:keepLines w:val="0"/>
        <w:pageBreakBefore w:val="0"/>
        <w:widowControl w:val="0"/>
        <w:wordWrap/>
        <w:overflowPunct/>
        <w:topLinePunct w:val="0"/>
        <w:autoSpaceDE w:val="0"/>
        <w:autoSpaceDN w:val="0"/>
        <w:bidi w:val="0"/>
        <w:adjustRightInd w:val="0"/>
        <w:snapToGrid w:val="0"/>
        <w:spacing w:beforeLines="0" w:line="600" w:lineRule="exact"/>
        <w:ind w:left="0" w:right="0" w:firstLine="672" w:firstLineChars="200"/>
        <w:jc w:val="both"/>
        <w:textAlignment w:val="baseline"/>
        <w:rPr>
          <w:rFonts w:hint="default" w:ascii="Times New Roman" w:hAnsi="Times New Roman" w:eastAsia="仿宋" w:cs="仿宋"/>
          <w:smallCaps w:val="0"/>
          <w:color w:val="auto"/>
          <w:spacing w:val="8"/>
          <w:sz w:val="32"/>
          <w:szCs w:val="32"/>
        </w:rPr>
      </w:pPr>
      <w:r>
        <w:rPr>
          <w:rFonts w:hint="default" w:ascii="Times New Roman" w:hAnsi="Times New Roman" w:eastAsia="仿宋" w:cs="仿宋"/>
          <w:smallCaps w:val="0"/>
          <w:color w:val="auto"/>
          <w:spacing w:val="8"/>
          <w:sz w:val="32"/>
          <w:szCs w:val="32"/>
        </w:rPr>
        <w:t>按照国家和自治区绿色矿山建设相关标准，有序推进绿色矿山建设。规划期内，新建（改扩建）矿山正式投产一年内须达到绿色矿山建设行业标准。引导现有生产矿山按照绿色矿山标准进行升级改造。</w:t>
      </w:r>
    </w:p>
    <w:p w14:paraId="78C5BD7A">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楷体" w:hAnsi="楷体" w:eastAsia="楷体" w:cs="楷体"/>
          <w:b/>
          <w:bCs w:val="0"/>
          <w:smallCaps w:val="0"/>
          <w:snapToGrid/>
          <w:color w:val="auto"/>
          <w:kern w:val="2"/>
          <w:sz w:val="32"/>
          <w:szCs w:val="32"/>
          <w:lang w:val="en-US" w:eastAsia="en-US" w:bidi="ar-SA"/>
        </w:rPr>
      </w:pPr>
      <w:r>
        <w:rPr>
          <w:rFonts w:hint="eastAsia" w:ascii="楷体" w:hAnsi="楷体" w:eastAsia="楷体" w:cs="楷体"/>
          <w:b/>
          <w:bCs w:val="0"/>
          <w:smallCaps w:val="0"/>
          <w:snapToGrid/>
          <w:color w:val="auto"/>
          <w:kern w:val="2"/>
          <w:sz w:val="32"/>
          <w:szCs w:val="32"/>
          <w:lang w:val="en-US" w:eastAsia="zh-CN" w:bidi="ar-SA"/>
        </w:rPr>
        <w:t>（五）</w:t>
      </w:r>
      <w:r>
        <w:rPr>
          <w:rFonts w:hint="default" w:ascii="楷体" w:hAnsi="楷体" w:eastAsia="楷体" w:cs="楷体"/>
          <w:b/>
          <w:bCs w:val="0"/>
          <w:smallCaps w:val="0"/>
          <w:snapToGrid/>
          <w:color w:val="auto"/>
          <w:kern w:val="2"/>
          <w:sz w:val="32"/>
          <w:szCs w:val="32"/>
          <w:lang w:val="en-US" w:eastAsia="en-US" w:bidi="ar-SA"/>
        </w:rPr>
        <w:t>矿区生态环境保护修复</w:t>
      </w:r>
    </w:p>
    <w:p w14:paraId="4B268362">
      <w:pPr>
        <w:pStyle w:val="1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right="0" w:firstLine="672" w:firstLineChars="200"/>
        <w:jc w:val="both"/>
        <w:textAlignment w:val="baseline"/>
        <w:rPr>
          <w:rFonts w:hint="eastAsia" w:ascii="Times New Roman" w:hAnsi="Times New Roman" w:eastAsia="仿宋" w:cs="仿宋"/>
          <w:smallCaps w:val="0"/>
          <w:snapToGrid w:val="0"/>
          <w:color w:val="auto"/>
          <w:spacing w:val="8"/>
          <w:kern w:val="0"/>
          <w:sz w:val="32"/>
          <w:szCs w:val="32"/>
          <w:lang w:val="en-US" w:eastAsia="en-US" w:bidi="ar-SA"/>
        </w:rPr>
      </w:pPr>
      <w:r>
        <w:rPr>
          <w:rFonts w:hint="eastAsia" w:ascii="Times New Roman" w:hAnsi="Times New Roman" w:eastAsia="仿宋" w:cs="仿宋"/>
          <w:smallCaps w:val="0"/>
          <w:snapToGrid w:val="0"/>
          <w:color w:val="auto"/>
          <w:spacing w:val="8"/>
          <w:kern w:val="0"/>
          <w:sz w:val="32"/>
          <w:szCs w:val="32"/>
          <w:lang w:val="en-US" w:eastAsia="en-US" w:bidi="ar-SA"/>
        </w:rPr>
        <w:t>新建矿山实行严格的环境准入，拟出让的矿业权须符合自治区和银川市国土空间规划、矿产资源规划，以及生态环境保护、耕地保护、产业政策等相关要求，严格实行环境影响评价和地质灾害危险性评估，明确采矿权人保护矿山生态环境的责任与义务。在建、生产矿山严格按批准的开发利用方案、矿山地质环境保护与土地复垦方案要求，开展采掘活动和生态环境保护。</w:t>
      </w:r>
    </w:p>
    <w:p w14:paraId="5568DF2A">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firstLine="640" w:firstLineChars="200"/>
        <w:jc w:val="both"/>
        <w:textAlignment w:val="baseline"/>
        <w:rPr>
          <w:rFonts w:hint="eastAsia" w:ascii="黑体" w:hAnsi="黑体" w:eastAsia="黑体" w:cs="黑体"/>
          <w:b w:val="0"/>
          <w:bCs w:val="0"/>
          <w:smallCaps w:val="0"/>
          <w:color w:val="auto"/>
          <w:sz w:val="32"/>
          <w:szCs w:val="32"/>
          <w:lang w:val="en-US" w:eastAsia="zh-CN"/>
        </w:rPr>
      </w:pPr>
      <w:bookmarkStart w:id="24" w:name="_Toc5639"/>
      <w:r>
        <w:rPr>
          <w:rFonts w:hint="eastAsia" w:ascii="黑体" w:hAnsi="黑体" w:eastAsia="黑体" w:cs="黑体"/>
          <w:b w:val="0"/>
          <w:bCs w:val="0"/>
          <w:smallCaps w:val="0"/>
          <w:color w:val="auto"/>
          <w:sz w:val="32"/>
          <w:szCs w:val="32"/>
          <w:lang w:val="en-US" w:eastAsia="zh-CN"/>
        </w:rPr>
        <w:t>五、合理划定勘查开采规划区块</w:t>
      </w:r>
      <w:bookmarkEnd w:id="24"/>
    </w:p>
    <w:p w14:paraId="226EB7A1">
      <w:pPr>
        <w:keepNext w:val="0"/>
        <w:keepLines w:val="0"/>
        <w:pageBreakBefore w:val="0"/>
        <w:widowControl w:val="0"/>
        <w:kinsoku/>
        <w:wordWrap/>
        <w:overflowPunct/>
        <w:topLinePunct w:val="0"/>
        <w:autoSpaceDE w:val="0"/>
        <w:autoSpaceDN w:val="0"/>
        <w:bidi w:val="0"/>
        <w:adjustRightInd w:val="0"/>
        <w:snapToGrid w:val="0"/>
        <w:spacing w:line="600" w:lineRule="exact"/>
        <w:ind w:firstLine="672" w:firstLineChars="200"/>
        <w:jc w:val="both"/>
        <w:textAlignment w:val="baseline"/>
        <w:rPr>
          <w:rFonts w:hint="eastAsia" w:ascii="Times New Roman" w:hAnsi="Times New Roman" w:eastAsia="仿宋" w:cs="仿宋"/>
          <w:smallCaps w:val="0"/>
          <w:color w:val="auto"/>
          <w:spacing w:val="8"/>
          <w:sz w:val="32"/>
          <w:szCs w:val="32"/>
          <w:lang w:val="en-US" w:eastAsia="zh-CN"/>
        </w:rPr>
      </w:pPr>
      <w:r>
        <w:rPr>
          <w:rFonts w:hint="eastAsia" w:ascii="Times New Roman" w:hAnsi="Times New Roman" w:eastAsia="仿宋" w:cs="仿宋"/>
          <w:smallCaps w:val="0"/>
          <w:color w:val="auto"/>
          <w:spacing w:val="8"/>
          <w:sz w:val="32"/>
          <w:szCs w:val="32"/>
          <w:lang w:val="en-US" w:eastAsia="zh-CN"/>
        </w:rPr>
        <w:t>依据国家、自治区矿产资源规划及国土空间管控要求，严守生态保护红线、永久基本农田、城镇开发边界，结合银川市矿产禀赋、生态承载力与产业布局，科学划定、精准管控勘查开采规划区块。</w:t>
      </w:r>
    </w:p>
    <w:p w14:paraId="22EA1BD1">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（一）勘查规划区块</w:t>
      </w:r>
    </w:p>
    <w:p w14:paraId="1A90D654">
      <w:pPr>
        <w:keepNext w:val="0"/>
        <w:keepLines w:val="0"/>
        <w:pageBreakBefore w:val="0"/>
        <w:widowControl w:val="0"/>
        <w:kinsoku/>
        <w:wordWrap/>
        <w:overflowPunct/>
        <w:topLinePunct w:val="0"/>
        <w:autoSpaceDE w:val="0"/>
        <w:autoSpaceDN w:val="0"/>
        <w:bidi w:val="0"/>
        <w:adjustRightInd w:val="0"/>
        <w:snapToGrid w:val="0"/>
        <w:spacing w:line="600" w:lineRule="exact"/>
        <w:ind w:firstLine="672" w:firstLineChars="200"/>
        <w:jc w:val="both"/>
        <w:textAlignment w:val="baseline"/>
        <w:rPr>
          <w:rFonts w:hint="eastAsia" w:ascii="Times New Roman" w:hAnsi="Times New Roman" w:eastAsia="仿宋" w:cs="仿宋"/>
          <w:smallCaps w:val="0"/>
          <w:color w:val="auto"/>
          <w:spacing w:val="8"/>
          <w:sz w:val="32"/>
          <w:szCs w:val="32"/>
        </w:rPr>
      </w:pPr>
      <w:r>
        <w:rPr>
          <w:rFonts w:hint="eastAsia" w:ascii="Times New Roman" w:hAnsi="Times New Roman" w:eastAsia="仿宋" w:cs="仿宋"/>
          <w:smallCaps w:val="0"/>
          <w:color w:val="auto"/>
          <w:spacing w:val="8"/>
          <w:sz w:val="32"/>
          <w:szCs w:val="32"/>
          <w:lang w:val="en-US" w:eastAsia="zh-CN"/>
        </w:rPr>
        <w:t>设置</w:t>
      </w:r>
      <w:r>
        <w:rPr>
          <w:rFonts w:hint="eastAsia" w:ascii="Times New Roman" w:hAnsi="Times New Roman" w:eastAsia="仿宋" w:cs="仿宋"/>
          <w:smallCaps w:val="0"/>
          <w:color w:val="auto"/>
          <w:spacing w:val="8"/>
          <w:sz w:val="32"/>
          <w:szCs w:val="32"/>
        </w:rPr>
        <w:t>矿产资源勘查规划区块</w:t>
      </w:r>
      <w:r>
        <w:rPr>
          <w:rFonts w:hint="eastAsia" w:ascii="Times New Roman" w:hAnsi="Times New Roman" w:eastAsia="仿宋" w:cs="仿宋"/>
          <w:smallCaps w:val="0"/>
          <w:color w:val="auto"/>
          <w:spacing w:val="8"/>
          <w:sz w:val="32"/>
          <w:szCs w:val="32"/>
          <w:lang w:val="en-US" w:eastAsia="zh-CN"/>
        </w:rPr>
        <w:t>12个，涵盖煤炭、地热能、页岩气、煤层气4个矿种</w:t>
      </w:r>
      <w:r>
        <w:rPr>
          <w:rFonts w:hint="eastAsia" w:ascii="Times New Roman" w:hAnsi="Times New Roman" w:eastAsia="仿宋" w:cs="仿宋"/>
          <w:smallCaps w:val="0"/>
          <w:color w:val="auto"/>
          <w:spacing w:val="8"/>
          <w:sz w:val="32"/>
          <w:szCs w:val="32"/>
        </w:rPr>
        <w:t>。</w:t>
      </w:r>
    </w:p>
    <w:p w14:paraId="631C7383">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（二）开采规划区块</w:t>
      </w:r>
    </w:p>
    <w:p w14:paraId="641B72E5">
      <w:pPr>
        <w:keepNext w:val="0"/>
        <w:keepLines w:val="0"/>
        <w:pageBreakBefore w:val="0"/>
        <w:widowControl w:val="0"/>
        <w:kinsoku/>
        <w:wordWrap/>
        <w:overflowPunct/>
        <w:topLinePunct w:val="0"/>
        <w:autoSpaceDE w:val="0"/>
        <w:autoSpaceDN w:val="0"/>
        <w:bidi w:val="0"/>
        <w:adjustRightInd w:val="0"/>
        <w:snapToGrid w:val="0"/>
        <w:spacing w:line="600" w:lineRule="exact"/>
        <w:ind w:firstLine="672" w:firstLineChars="200"/>
        <w:jc w:val="both"/>
        <w:textAlignment w:val="baseline"/>
        <w:rPr>
          <w:rFonts w:hint="eastAsia" w:ascii="Times New Roman" w:hAnsi="Times New Roman" w:eastAsia="仿宋" w:cs="仿宋"/>
          <w:smallCaps w:val="0"/>
          <w:color w:val="auto"/>
          <w:spacing w:val="8"/>
          <w:sz w:val="32"/>
          <w:szCs w:val="32"/>
        </w:rPr>
      </w:pPr>
      <w:r>
        <w:rPr>
          <w:rFonts w:hint="eastAsia" w:ascii="Times New Roman" w:hAnsi="Times New Roman" w:eastAsia="仿宋" w:cs="仿宋"/>
          <w:smallCaps w:val="0"/>
          <w:color w:val="auto"/>
          <w:spacing w:val="8"/>
          <w:sz w:val="32"/>
          <w:szCs w:val="32"/>
        </w:rPr>
        <w:t>规划期内</w:t>
      </w:r>
      <w:r>
        <w:rPr>
          <w:rFonts w:hint="eastAsia" w:ascii="Times New Roman" w:hAnsi="Times New Roman" w:eastAsia="仿宋" w:cs="仿宋"/>
          <w:smallCaps w:val="0"/>
          <w:color w:val="auto"/>
          <w:spacing w:val="8"/>
          <w:sz w:val="32"/>
          <w:szCs w:val="32"/>
          <w:lang w:eastAsia="zh-CN"/>
        </w:rPr>
        <w:t>，结合全市矿产资源分布、产业需求及生态管控要求，</w:t>
      </w:r>
      <w:r>
        <w:rPr>
          <w:rFonts w:hint="eastAsia" w:ascii="Times New Roman" w:hAnsi="Times New Roman" w:eastAsia="仿宋" w:cs="仿宋"/>
          <w:smallCaps w:val="0"/>
          <w:color w:val="auto"/>
          <w:spacing w:val="8"/>
          <w:sz w:val="32"/>
          <w:szCs w:val="32"/>
        </w:rPr>
        <w:t>共设置开采规划区块</w:t>
      </w:r>
      <w:r>
        <w:rPr>
          <w:rFonts w:hint="eastAsia" w:ascii="Times New Roman" w:hAnsi="Times New Roman" w:eastAsia="仿宋" w:cs="仿宋"/>
          <w:smallCaps w:val="0"/>
          <w:color w:val="auto"/>
          <w:spacing w:val="8"/>
          <w:sz w:val="32"/>
          <w:szCs w:val="32"/>
          <w:lang w:val="en-US" w:eastAsia="zh-CN"/>
        </w:rPr>
        <w:t>7</w:t>
      </w:r>
      <w:r>
        <w:rPr>
          <w:rFonts w:hint="eastAsia" w:ascii="Times New Roman" w:hAnsi="Times New Roman" w:eastAsia="仿宋" w:cs="仿宋"/>
          <w:smallCaps w:val="0"/>
          <w:color w:val="auto"/>
          <w:spacing w:val="8"/>
          <w:sz w:val="32"/>
          <w:szCs w:val="32"/>
        </w:rPr>
        <w:t>个。</w:t>
      </w:r>
    </w:p>
    <w:p w14:paraId="138EEA72">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ind w:firstLine="720" w:firstLineChars="200"/>
        <w:jc w:val="both"/>
        <w:textAlignment w:val="auto"/>
        <w:rPr>
          <w:rFonts w:hint="eastAsia" w:ascii="黑体" w:hAnsi="黑体" w:eastAsia="黑体" w:cs="黑体"/>
          <w:b w:val="0"/>
          <w:bCs w:val="0"/>
          <w:snapToGrid/>
          <w:color w:val="000000" w:themeColor="text1"/>
          <w:kern w:val="1"/>
          <w:sz w:val="36"/>
          <w:szCs w:val="36"/>
          <w:lang w:val="en-US" w:eastAsia="zh-CN"/>
          <w14:textFill>
            <w14:solidFill>
              <w14:schemeClr w14:val="tx1"/>
            </w14:solidFill>
          </w14:textFill>
        </w:rPr>
        <w:sectPr>
          <w:pgSz w:w="11907" w:h="16839"/>
          <w:pgMar w:top="1440" w:right="1800" w:bottom="1440" w:left="1800" w:header="941" w:footer="945" w:gutter="0"/>
          <w:pgNumType w:fmt="decimal"/>
          <w:cols w:space="720" w:num="1"/>
        </w:sectPr>
      </w:pPr>
    </w:p>
    <w:p w14:paraId="1EAA36D7">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jc w:val="center"/>
        <w:textAlignment w:val="auto"/>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pPr>
      <w:bookmarkStart w:id="25" w:name="_Toc10050"/>
      <w:r>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t>第六章  绿色矿山建设和矿区生态环境保护修复</w:t>
      </w:r>
      <w:bookmarkEnd w:id="25"/>
    </w:p>
    <w:p w14:paraId="08AE24E6">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ascii="Times New Roman" w:hAnsi="Times New Roman" w:eastAsia="仿宋" w:cs="仿宋"/>
          <w:smallCaps w:val="0"/>
          <w:color w:val="auto"/>
          <w:spacing w:val="11"/>
          <w:sz w:val="32"/>
          <w:szCs w:val="32"/>
        </w:rPr>
      </w:pPr>
      <w:r>
        <w:rPr>
          <w:rFonts w:ascii="Times New Roman" w:hAnsi="Times New Roman" w:eastAsia="仿宋" w:cs="仿宋"/>
          <w:smallCaps w:val="0"/>
          <w:color w:val="auto"/>
          <w:spacing w:val="11"/>
          <w:sz w:val="32"/>
          <w:szCs w:val="32"/>
        </w:rPr>
        <w:t>全面落实绿色勘查、绿色矿山建设、矿区生态保护修复各项政策，</w:t>
      </w:r>
      <w:r>
        <w:rPr>
          <w:rFonts w:hint="eastAsia" w:ascii="Times New Roman" w:hAnsi="Times New Roman" w:eastAsia="仿宋" w:cs="仿宋"/>
          <w:smallCaps w:val="0"/>
          <w:color w:val="auto"/>
          <w:spacing w:val="11"/>
          <w:sz w:val="32"/>
          <w:szCs w:val="32"/>
        </w:rPr>
        <w:t>加快构建布局合理、集约高效、生态友好的矿业绿色发展新格局。</w:t>
      </w:r>
      <w:r>
        <w:rPr>
          <w:rFonts w:ascii="Times New Roman" w:hAnsi="Times New Roman" w:eastAsia="仿宋" w:cs="仿宋"/>
          <w:smallCaps w:val="0"/>
          <w:color w:val="auto"/>
          <w:spacing w:val="11"/>
          <w:sz w:val="32"/>
          <w:szCs w:val="32"/>
        </w:rPr>
        <w:t>将绿色发展理念贯穿于矿产资源勘查、开发利用与保护全过程，强化源头管控、过程控制和末端治理。建立绿色矿业发展的工作体系、政策体系、监管体系和利益共享体系，健全绿色矿业发展长效机制，加强矿山环境保护法治宣传，着力营造绿色发展氛围。</w:t>
      </w:r>
    </w:p>
    <w:p w14:paraId="6732143A">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leftChars="0" w:firstLine="640" w:firstLineChars="200"/>
        <w:textAlignment w:val="baseline"/>
        <w:rPr>
          <w:rFonts w:hint="eastAsia" w:ascii="黑体" w:hAnsi="黑体" w:eastAsia="黑体" w:cs="黑体"/>
          <w:b w:val="0"/>
          <w:bCs w:val="0"/>
          <w:smallCaps w:val="0"/>
          <w:color w:val="auto"/>
          <w:sz w:val="32"/>
          <w:szCs w:val="32"/>
          <w:lang w:val="en-US" w:eastAsia="zh-CN"/>
        </w:rPr>
      </w:pPr>
      <w:bookmarkStart w:id="26" w:name="_Toc20962"/>
      <w:r>
        <w:rPr>
          <w:rFonts w:hint="eastAsia" w:ascii="黑体" w:hAnsi="黑体" w:eastAsia="黑体" w:cs="黑体"/>
          <w:b w:val="0"/>
          <w:bCs w:val="0"/>
          <w:smallCaps w:val="0"/>
          <w:color w:val="auto"/>
          <w:sz w:val="32"/>
          <w:szCs w:val="32"/>
          <w:lang w:val="en-US" w:eastAsia="zh-CN"/>
        </w:rPr>
        <w:t>一、绿色矿山建设</w:t>
      </w:r>
      <w:bookmarkEnd w:id="26"/>
    </w:p>
    <w:p w14:paraId="26B03878">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smallCaps w:val="0"/>
          <w:color w:val="auto"/>
          <w:spacing w:val="11"/>
          <w:sz w:val="32"/>
          <w:szCs w:val="32"/>
        </w:rPr>
      </w:pPr>
      <w:r>
        <w:rPr>
          <w:rFonts w:hint="eastAsia" w:ascii="Times New Roman" w:hAnsi="Times New Roman" w:eastAsia="仿宋" w:cs="仿宋"/>
          <w:smallCaps w:val="0"/>
          <w:color w:val="auto"/>
          <w:spacing w:val="11"/>
          <w:sz w:val="32"/>
          <w:szCs w:val="32"/>
        </w:rPr>
        <w:t>按照国家和自治区绿色矿山建设相关标准，有序推进绿色矿山建设</w:t>
      </w:r>
      <w:r>
        <w:rPr>
          <w:rFonts w:hint="eastAsia" w:ascii="Times New Roman" w:hAnsi="Times New Roman" w:eastAsia="仿宋" w:cs="仿宋"/>
          <w:smallCaps w:val="0"/>
          <w:color w:val="auto"/>
          <w:spacing w:val="11"/>
          <w:sz w:val="32"/>
          <w:szCs w:val="32"/>
          <w:lang w:eastAsia="zh-CN"/>
        </w:rPr>
        <w:t>，推动矿业绿色低碳转型发展</w:t>
      </w:r>
      <w:r>
        <w:rPr>
          <w:rFonts w:hint="eastAsia" w:ascii="Times New Roman" w:hAnsi="Times New Roman" w:eastAsia="仿宋" w:cs="仿宋"/>
          <w:smallCaps w:val="0"/>
          <w:color w:val="auto"/>
          <w:spacing w:val="11"/>
          <w:sz w:val="32"/>
          <w:szCs w:val="32"/>
        </w:rPr>
        <w:t>。规划期内，新建（改扩建）矿山正式投产一年内须达到绿色矿山建设行业标准。积极引导现有生产矿山对照绿色矿山标准开展升级改造，确保规划期末全市绿色矿山建成率达到100%，实现矿山开发与生态保护协同发展。</w:t>
      </w:r>
    </w:p>
    <w:p w14:paraId="47684192">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smallCaps w:val="0"/>
          <w:color w:val="auto"/>
          <w:spacing w:val="11"/>
          <w:sz w:val="32"/>
          <w:szCs w:val="32"/>
        </w:rPr>
      </w:pPr>
      <w:r>
        <w:rPr>
          <w:rFonts w:hint="eastAsia" w:ascii="Times New Roman" w:hAnsi="Times New Roman" w:eastAsia="仿宋" w:cs="仿宋"/>
          <w:smallCaps w:val="0"/>
          <w:color w:val="auto"/>
          <w:spacing w:val="11"/>
          <w:sz w:val="32"/>
          <w:szCs w:val="32"/>
        </w:rPr>
        <w:t>切实加强绿色矿山建设的组织领导，在同级人民政府统一领导下，主动与各有关部门协调联系，构建互联互通工作机制，建立健全相关政策，形成合力，共同引导矿山企业建设绿色矿山。建立健全指导评价机制，不定期开展督导检查，及时发现解决问题，指导企业依法依规、有力有序推进。</w:t>
      </w:r>
    </w:p>
    <w:p w14:paraId="4D7A20D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ascii="Times New Roman" w:hAnsi="Times New Roman" w:eastAsia="仿宋" w:cs="仿宋"/>
          <w:smallCaps w:val="0"/>
          <w:color w:val="auto"/>
          <w:spacing w:val="11"/>
          <w:sz w:val="32"/>
          <w:szCs w:val="32"/>
        </w:rPr>
      </w:pPr>
      <w:r>
        <w:rPr>
          <w:rFonts w:hint="eastAsia" w:ascii="Times New Roman" w:hAnsi="Times New Roman" w:eastAsia="仿宋" w:cs="仿宋"/>
          <w:smallCaps w:val="0"/>
          <w:color w:val="auto"/>
          <w:spacing w:val="11"/>
          <w:sz w:val="32"/>
          <w:szCs w:val="32"/>
        </w:rPr>
        <w:t>加大绿色矿山和绿色矿业宣传力度，广泛宣传绿色矿山建设典型经验和先进成效，增强各部门和矿山企业的积极性和自觉性，在全社会营造认识绿色矿山、认同绿色矿山、支持绿色矿山的良好氛围。</w:t>
      </w:r>
    </w:p>
    <w:p w14:paraId="0D0BA3CB">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leftChars="0" w:firstLine="640" w:firstLineChars="200"/>
        <w:textAlignment w:val="baseline"/>
        <w:rPr>
          <w:rFonts w:hint="eastAsia" w:ascii="黑体" w:hAnsi="黑体" w:eastAsia="黑体" w:cs="黑体"/>
          <w:b w:val="0"/>
          <w:bCs w:val="0"/>
          <w:smallCaps w:val="0"/>
          <w:color w:val="auto"/>
          <w:sz w:val="32"/>
          <w:szCs w:val="32"/>
          <w:lang w:val="en-US" w:eastAsia="zh-CN"/>
        </w:rPr>
      </w:pPr>
      <w:bookmarkStart w:id="27" w:name="_Toc3770"/>
      <w:r>
        <w:rPr>
          <w:rFonts w:hint="eastAsia" w:ascii="黑体" w:hAnsi="黑体" w:eastAsia="黑体" w:cs="黑体"/>
          <w:b w:val="0"/>
          <w:bCs w:val="0"/>
          <w:smallCaps w:val="0"/>
          <w:color w:val="auto"/>
          <w:sz w:val="32"/>
          <w:szCs w:val="32"/>
          <w:lang w:val="en-US" w:eastAsia="zh-CN"/>
        </w:rPr>
        <w:t>二、生产矿山生态修复</w:t>
      </w:r>
      <w:bookmarkEnd w:id="27"/>
    </w:p>
    <w:p w14:paraId="06D9EE9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smallCaps w:val="0"/>
          <w:color w:val="auto"/>
          <w:spacing w:val="11"/>
          <w:sz w:val="32"/>
          <w:szCs w:val="32"/>
        </w:rPr>
      </w:pPr>
      <w:r>
        <w:rPr>
          <w:rFonts w:hint="eastAsia" w:ascii="Times New Roman" w:hAnsi="Times New Roman" w:eastAsia="仿宋" w:cs="仿宋"/>
          <w:smallCaps w:val="0"/>
          <w:color w:val="auto"/>
          <w:spacing w:val="11"/>
          <w:sz w:val="32"/>
          <w:szCs w:val="32"/>
        </w:rPr>
        <w:t>加强矿区生态保护治理全过程管理。针对矿山开发不同阶段的特点和要求，实施全过程信息化动态监督管理，督促矿山企业切实履行地质环境保护与恢复治理义务，最大限度保护矿区生态环境。</w:t>
      </w:r>
    </w:p>
    <w:p w14:paraId="4511F0F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smallCaps w:val="0"/>
          <w:color w:val="auto"/>
          <w:spacing w:val="11"/>
          <w:sz w:val="32"/>
          <w:szCs w:val="32"/>
        </w:rPr>
      </w:pPr>
      <w:r>
        <w:rPr>
          <w:rFonts w:hint="eastAsia" w:ascii="Times New Roman" w:hAnsi="Times New Roman" w:eastAsia="仿宋" w:cs="仿宋"/>
          <w:smallCaps w:val="0"/>
          <w:color w:val="auto"/>
          <w:spacing w:val="11"/>
          <w:sz w:val="32"/>
          <w:szCs w:val="32"/>
        </w:rPr>
        <w:t>新建矿山实行严格的环境准入</w:t>
      </w:r>
      <w:r>
        <w:rPr>
          <w:rFonts w:hint="eastAsia" w:ascii="Times New Roman" w:hAnsi="Times New Roman" w:eastAsia="仿宋" w:cs="仿宋"/>
          <w:smallCaps w:val="0"/>
          <w:color w:val="auto"/>
          <w:spacing w:val="11"/>
          <w:sz w:val="32"/>
          <w:szCs w:val="32"/>
          <w:lang w:val="en-US" w:eastAsia="zh-CN"/>
        </w:rPr>
        <w:t>管理</w:t>
      </w:r>
      <w:r>
        <w:rPr>
          <w:rFonts w:hint="eastAsia" w:ascii="Times New Roman" w:hAnsi="Times New Roman" w:eastAsia="仿宋" w:cs="仿宋"/>
          <w:smallCaps w:val="0"/>
          <w:color w:val="auto"/>
          <w:spacing w:val="11"/>
          <w:sz w:val="32"/>
          <w:szCs w:val="32"/>
        </w:rPr>
        <w:t>，拟出让的矿业权须符合自治区和银川市国土空间规划、矿产资源规划，以及生态环境保护、耕地保护、产业政策等相关要求，严格实行环境影响评价和地质灾害危险性评估，明确采矿权人保护矿山生态环境的责任与义务。在建、生产矿山严格按批准的开发利用方案、矿山地质环境保护与土地复垦方案要求，规范开展采掘活动，同步推进生态环境保护与修复工作。严格执行自治区矿山地质环境治理恢复基金管理办法，按照“企业计提、政府监管、确保需求、规范使用”的原则，坚持“在保护中开发，在开发中保护”和“谁破坏、谁治理”的</w:t>
      </w:r>
      <w:r>
        <w:rPr>
          <w:rFonts w:hint="eastAsia" w:ascii="Times New Roman" w:hAnsi="Times New Roman" w:eastAsia="仿宋" w:cs="仿宋"/>
          <w:smallCaps w:val="0"/>
          <w:color w:val="auto"/>
          <w:spacing w:val="11"/>
          <w:sz w:val="32"/>
          <w:szCs w:val="32"/>
          <w:lang w:val="en-US" w:eastAsia="zh-CN"/>
        </w:rPr>
        <w:t>理念</w:t>
      </w:r>
      <w:r>
        <w:rPr>
          <w:rFonts w:hint="eastAsia" w:ascii="Times New Roman" w:hAnsi="Times New Roman" w:eastAsia="仿宋" w:cs="仿宋"/>
          <w:smallCaps w:val="0"/>
          <w:color w:val="auto"/>
          <w:spacing w:val="11"/>
          <w:sz w:val="32"/>
          <w:szCs w:val="32"/>
        </w:rPr>
        <w:t>，</w:t>
      </w:r>
      <w:r>
        <w:rPr>
          <w:rFonts w:hint="eastAsia" w:ascii="Times New Roman" w:hAnsi="Times New Roman" w:eastAsia="仿宋" w:cs="仿宋"/>
          <w:smallCaps w:val="0"/>
          <w:color w:val="auto"/>
          <w:spacing w:val="11"/>
          <w:sz w:val="32"/>
          <w:szCs w:val="32"/>
          <w:lang w:val="en-US" w:eastAsia="zh-CN"/>
        </w:rPr>
        <w:t>坚持</w:t>
      </w:r>
      <w:r>
        <w:rPr>
          <w:rFonts w:hint="eastAsia" w:ascii="Times New Roman" w:hAnsi="Times New Roman" w:eastAsia="仿宋" w:cs="仿宋"/>
          <w:smallCaps w:val="0"/>
          <w:color w:val="auto"/>
          <w:spacing w:val="11"/>
          <w:sz w:val="32"/>
          <w:szCs w:val="32"/>
        </w:rPr>
        <w:t>预防为主，防治结合，严格落实矿山生态保护治理和监测主体责任，督促企业依法履行相关义务。</w:t>
      </w:r>
    </w:p>
    <w:p w14:paraId="53A1AD93">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smallCaps w:val="0"/>
          <w:color w:val="auto"/>
          <w:spacing w:val="11"/>
          <w:sz w:val="32"/>
          <w:szCs w:val="32"/>
        </w:rPr>
      </w:pPr>
      <w:r>
        <w:rPr>
          <w:rFonts w:hint="eastAsia" w:ascii="Times New Roman" w:hAnsi="Times New Roman" w:eastAsia="仿宋" w:cs="仿宋"/>
          <w:smallCaps w:val="0"/>
          <w:color w:val="auto"/>
          <w:spacing w:val="11"/>
          <w:sz w:val="32"/>
          <w:szCs w:val="32"/>
        </w:rPr>
        <w:t>关闭矿山须限期履行生态环境治理恢复义务，重点加强采空区和不稳定边坡的地质灾害防治、堆场和尾矿库的清理复绿、采场和裸露边坡的植被恢复、矿坑废水的污染治理，全面做好矿山生态环境恢复治理各项工作，确保矿区生态环境逐步改善。</w:t>
      </w:r>
    </w:p>
    <w:p w14:paraId="4E98C083">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smallCaps w:val="0"/>
          <w:color w:val="auto"/>
          <w:spacing w:val="11"/>
          <w:sz w:val="32"/>
          <w:szCs w:val="32"/>
        </w:rPr>
      </w:pPr>
      <w:r>
        <w:rPr>
          <w:rFonts w:hint="eastAsia" w:ascii="Times New Roman" w:hAnsi="Times New Roman" w:eastAsia="仿宋" w:cs="仿宋"/>
          <w:smallCaps w:val="0"/>
          <w:color w:val="auto"/>
          <w:spacing w:val="11"/>
          <w:sz w:val="32"/>
          <w:szCs w:val="32"/>
        </w:rPr>
        <w:t>加快推进历史遗留矿山生态修复。通过政府引导，按照市场运作模式，建立多元化矿山生态修复资金投资机制和补偿机制，加大历史遗留废弃矿山生态修复力度。按照集中连片、重点突出、全面治理的原则，以矿山环境问题类似、区域接近的大型矿山或若干小型矿山群采区为单元，以贺兰山自然保护区为主体，部署实施治理项目，提升生态环境质量和水土保持能力，筑牢贺兰山绿色生态安全屏障。</w:t>
      </w:r>
    </w:p>
    <w:p w14:paraId="7830F7E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b w:val="0"/>
          <w:bCs w:val="0"/>
          <w:smallCaps w:val="0"/>
          <w:color w:val="auto"/>
          <w:spacing w:val="22"/>
          <w:sz w:val="32"/>
          <w:szCs w:val="32"/>
          <w:lang w:val="en-US" w:eastAsia="zh-CN"/>
        </w:rPr>
      </w:pPr>
      <w:r>
        <w:rPr>
          <w:rFonts w:hint="eastAsia" w:ascii="Times New Roman" w:hAnsi="Times New Roman" w:eastAsia="仿宋" w:cs="仿宋"/>
          <w:smallCaps w:val="0"/>
          <w:color w:val="auto"/>
          <w:spacing w:val="11"/>
          <w:sz w:val="32"/>
          <w:szCs w:val="32"/>
        </w:rPr>
        <w:t>规划期内</w:t>
      </w:r>
      <w:r>
        <w:rPr>
          <w:rFonts w:hint="eastAsia" w:ascii="Times New Roman" w:hAnsi="Times New Roman" w:eastAsia="仿宋" w:cs="仿宋"/>
          <w:smallCaps w:val="0"/>
          <w:color w:val="auto"/>
          <w:spacing w:val="11"/>
          <w:sz w:val="32"/>
          <w:szCs w:val="32"/>
          <w:lang w:eastAsia="zh-CN"/>
        </w:rPr>
        <w:t>，</w:t>
      </w:r>
      <w:r>
        <w:rPr>
          <w:rFonts w:hint="eastAsia" w:ascii="Times New Roman" w:hAnsi="Times New Roman" w:eastAsia="仿宋" w:cs="仿宋"/>
          <w:smallCaps w:val="0"/>
          <w:color w:val="auto"/>
          <w:spacing w:val="11"/>
          <w:sz w:val="32"/>
          <w:szCs w:val="32"/>
        </w:rPr>
        <w:t>部署实施矿山生态修复项目</w:t>
      </w:r>
      <w:r>
        <w:rPr>
          <w:rFonts w:hint="eastAsia" w:ascii="Times New Roman" w:hAnsi="Times New Roman" w:eastAsia="仿宋" w:cs="仿宋"/>
          <w:smallCaps w:val="0"/>
          <w:color w:val="auto"/>
          <w:spacing w:val="11"/>
          <w:sz w:val="32"/>
          <w:szCs w:val="32"/>
          <w:lang w:val="en-US" w:eastAsia="zh-CN"/>
        </w:rPr>
        <w:t>10</w:t>
      </w:r>
      <w:r>
        <w:rPr>
          <w:rFonts w:hint="eastAsia" w:ascii="Times New Roman" w:hAnsi="Times New Roman" w:eastAsia="仿宋" w:cs="仿宋"/>
          <w:smallCaps w:val="0"/>
          <w:color w:val="auto"/>
          <w:spacing w:val="11"/>
          <w:sz w:val="32"/>
          <w:szCs w:val="32"/>
        </w:rPr>
        <w:t>个，采取生态恢复型、景观再造型、新增土地型等差异化治理途径，不断提高矿山生态修复的综合效益</w:t>
      </w:r>
      <w:r>
        <w:rPr>
          <w:rFonts w:hint="eastAsia" w:ascii="Times New Roman" w:hAnsi="Times New Roman" w:eastAsia="仿宋" w:cs="仿宋"/>
          <w:b w:val="0"/>
          <w:bCs w:val="0"/>
          <w:smallCaps w:val="0"/>
          <w:color w:val="auto"/>
          <w:spacing w:val="22"/>
          <w:sz w:val="32"/>
          <w:szCs w:val="32"/>
          <w:lang w:val="en-US" w:eastAsia="zh-CN"/>
        </w:rPr>
        <w:t>。</w:t>
      </w:r>
    </w:p>
    <w:p w14:paraId="1F6C12AB">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ind w:firstLine="720" w:firstLineChars="200"/>
        <w:jc w:val="both"/>
        <w:textAlignment w:val="auto"/>
        <w:rPr>
          <w:rFonts w:hint="eastAsia" w:ascii="Times New Roman" w:hAnsi="Times New Roman" w:eastAsia="黑体" w:cs="Times New Roman"/>
          <w:b w:val="0"/>
          <w:bCs w:val="0"/>
          <w:snapToGrid/>
          <w:color w:val="auto"/>
          <w:kern w:val="2"/>
          <w:sz w:val="36"/>
          <w:szCs w:val="36"/>
          <w:lang w:val="en-US" w:eastAsia="zh-CN" w:bidi="ar-SA"/>
        </w:rPr>
        <w:sectPr>
          <w:pgSz w:w="11907" w:h="16839"/>
          <w:pgMar w:top="1440" w:right="1800" w:bottom="1440" w:left="1800" w:header="941" w:footer="945" w:gutter="0"/>
          <w:pgNumType w:fmt="decimal"/>
          <w:cols w:space="720" w:num="1"/>
        </w:sectPr>
      </w:pPr>
      <w:bookmarkStart w:id="28" w:name="bookmark22"/>
      <w:bookmarkEnd w:id="28"/>
    </w:p>
    <w:p w14:paraId="438F6939">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jc w:val="center"/>
        <w:textAlignment w:val="auto"/>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pPr>
      <w:bookmarkStart w:id="29" w:name="_Toc23286"/>
      <w:r>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t>第七章   重点项目</w:t>
      </w:r>
      <w:bookmarkEnd w:id="29"/>
    </w:p>
    <w:p w14:paraId="6B8527C2">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smallCaps w:val="0"/>
          <w:color w:val="auto"/>
          <w:spacing w:val="11"/>
          <w:sz w:val="32"/>
          <w:szCs w:val="32"/>
          <w:highlight w:val="none"/>
        </w:rPr>
      </w:pPr>
      <w:r>
        <w:rPr>
          <w:rFonts w:hint="eastAsia" w:ascii="Times New Roman" w:hAnsi="Times New Roman" w:eastAsia="仿宋" w:cs="仿宋"/>
          <w:smallCaps w:val="0"/>
          <w:color w:val="auto"/>
          <w:spacing w:val="11"/>
          <w:sz w:val="32"/>
          <w:szCs w:val="32"/>
          <w:highlight w:val="none"/>
        </w:rPr>
        <w:t>依据自治区“十五五”矿产资源规划确定的矿产资源调查评价与勘查、开发利用与保护等重大工程安排，重点落实自治区规划部署的矿产资源勘查</w:t>
      </w:r>
      <w:r>
        <w:rPr>
          <w:rFonts w:hint="eastAsia" w:ascii="Times New Roman" w:hAnsi="Times New Roman" w:eastAsia="仿宋" w:cs="仿宋"/>
          <w:smallCaps w:val="0"/>
          <w:color w:val="auto"/>
          <w:spacing w:val="11"/>
          <w:sz w:val="32"/>
          <w:szCs w:val="32"/>
          <w:highlight w:val="none"/>
          <w:lang w:eastAsia="zh-CN"/>
        </w:rPr>
        <w:t>、</w:t>
      </w:r>
      <w:r>
        <w:rPr>
          <w:rFonts w:hint="eastAsia" w:ascii="Times New Roman" w:hAnsi="Times New Roman" w:eastAsia="仿宋" w:cs="仿宋"/>
          <w:smallCaps w:val="0"/>
          <w:color w:val="auto"/>
          <w:spacing w:val="11"/>
          <w:sz w:val="32"/>
          <w:szCs w:val="32"/>
          <w:highlight w:val="none"/>
        </w:rPr>
        <w:t>开采项目，优先保障能源化工等主导产业发展的矿产资源开发空间需求，引导矿产资源勘查开采项目向规划开采区块集中，促进资源开发与国土空间保护利用相协调。</w:t>
      </w:r>
    </w:p>
    <w:p w14:paraId="32FDF093">
      <w:pPr>
        <w:bidi w:val="0"/>
        <w:rPr>
          <w:rFonts w:hint="default"/>
          <w:lang w:val="en-US" w:eastAsia="zh-CN"/>
        </w:rPr>
      </w:pPr>
    </w:p>
    <w:p w14:paraId="7E4E6802">
      <w:pPr>
        <w:pStyle w:val="14"/>
        <w:rPr>
          <w:rFonts w:hint="default"/>
          <w:lang w:val="en-US" w:eastAsia="zh-CN"/>
        </w:rPr>
        <w:sectPr>
          <w:pgSz w:w="11907" w:h="16839"/>
          <w:pgMar w:top="1440" w:right="1800" w:bottom="1440" w:left="1800" w:header="941" w:footer="945" w:gutter="0"/>
          <w:pgNumType w:fmt="decimal"/>
          <w:cols w:space="720" w:num="1"/>
        </w:sectPr>
      </w:pPr>
    </w:p>
    <w:p w14:paraId="500F239F">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jc w:val="center"/>
        <w:textAlignment w:val="auto"/>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pPr>
      <w:bookmarkStart w:id="30" w:name="_Toc29250"/>
      <w:r>
        <w:rPr>
          <w:rFonts w:hint="eastAsia" w:ascii="方正大标宋_GBK" w:hAnsi="方正大标宋_GBK" w:eastAsia="方正大标宋_GBK" w:cs="方正大标宋_GBK"/>
          <w:b w:val="0"/>
          <w:bCs w:val="0"/>
          <w:snapToGrid/>
          <w:color w:val="000000" w:themeColor="text1"/>
          <w:kern w:val="1"/>
          <w:sz w:val="36"/>
          <w:szCs w:val="36"/>
          <w:lang w:val="en-US" w:eastAsia="zh-CN"/>
          <w14:textFill>
            <w14:solidFill>
              <w14:schemeClr w14:val="tx1"/>
            </w14:solidFill>
          </w14:textFill>
        </w:rPr>
        <w:t>第八章   规划保障措施</w:t>
      </w:r>
      <w:bookmarkEnd w:id="30"/>
    </w:p>
    <w:p w14:paraId="7B1F2C7F">
      <w:pPr>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firstLine="684" w:firstLineChars="200"/>
        <w:jc w:val="both"/>
        <w:textAlignment w:val="baseline"/>
        <w:outlineLvl w:val="9"/>
        <w:rPr>
          <w:rFonts w:hint="eastAsia" w:ascii="Times New Roman" w:hAnsi="Times New Roman" w:eastAsia="仿宋" w:cs="仿宋"/>
          <w:b w:val="0"/>
          <w:bCs w:val="0"/>
          <w:smallCaps w:val="0"/>
          <w:snapToGrid w:val="0"/>
          <w:color w:val="auto"/>
          <w:spacing w:val="11"/>
          <w:kern w:val="0"/>
          <w:sz w:val="32"/>
          <w:szCs w:val="32"/>
          <w:lang w:val="en-US" w:eastAsia="zh-CN" w:bidi="ar-SA"/>
        </w:rPr>
      </w:pPr>
      <w:bookmarkStart w:id="31" w:name="bookmark37"/>
      <w:bookmarkEnd w:id="31"/>
      <w:bookmarkStart w:id="32" w:name="_Toc14354"/>
      <w:r>
        <w:rPr>
          <w:rFonts w:hint="eastAsia" w:ascii="Times New Roman" w:hAnsi="Times New Roman" w:eastAsia="仿宋" w:cs="仿宋"/>
          <w:b w:val="0"/>
          <w:bCs w:val="0"/>
          <w:smallCaps w:val="0"/>
          <w:snapToGrid w:val="0"/>
          <w:color w:val="auto"/>
          <w:spacing w:val="11"/>
          <w:kern w:val="0"/>
          <w:sz w:val="32"/>
          <w:szCs w:val="32"/>
          <w:lang w:val="en-US" w:eastAsia="zh-CN" w:bidi="ar-SA"/>
        </w:rPr>
        <w:t>为确保本规划各项目标任务落地见效，强化规划引领和管控作用，构建全方位、多层次、常态化的规划实施保障体系，结合银川市实际，制定以下保障措施。</w:t>
      </w:r>
    </w:p>
    <w:p w14:paraId="06F3C2D2">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r>
        <w:rPr>
          <w:rFonts w:hint="eastAsia" w:ascii="黑体" w:hAnsi="黑体" w:eastAsia="黑体" w:cs="黑体"/>
          <w:b w:val="0"/>
          <w:bCs w:val="0"/>
          <w:smallCaps w:val="0"/>
          <w:color w:val="auto"/>
          <w:sz w:val="32"/>
          <w:szCs w:val="32"/>
          <w:lang w:val="en-US" w:eastAsia="zh-CN"/>
        </w:rPr>
        <w:t>一、建立完善规划实施目标责任考核制度</w:t>
      </w:r>
      <w:bookmarkEnd w:id="32"/>
    </w:p>
    <w:p w14:paraId="0E09E072">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smallCaps w:val="0"/>
          <w:color w:val="auto"/>
          <w:spacing w:val="11"/>
          <w:sz w:val="32"/>
          <w:szCs w:val="32"/>
        </w:rPr>
      </w:pPr>
      <w:r>
        <w:rPr>
          <w:rFonts w:hint="eastAsia" w:ascii="Times New Roman" w:hAnsi="Times New Roman" w:eastAsia="仿宋" w:cs="仿宋"/>
          <w:smallCaps w:val="0"/>
          <w:color w:val="auto"/>
          <w:spacing w:val="11"/>
          <w:sz w:val="32"/>
          <w:szCs w:val="32"/>
        </w:rPr>
        <w:t>健全矿产资源规划实施管理制度，强化规划在矿产资源管理中的管控作用，确保规划刚性约束落地。落实规划实施主体责任，强化部门协同和上下联动，进一步细化和完善</w:t>
      </w:r>
      <w:r>
        <w:rPr>
          <w:rFonts w:hint="eastAsia" w:ascii="Times New Roman" w:hAnsi="Times New Roman" w:eastAsia="仿宋" w:cs="仿宋"/>
          <w:smallCaps w:val="0"/>
          <w:color w:val="auto"/>
          <w:spacing w:val="11"/>
          <w:sz w:val="32"/>
          <w:szCs w:val="32"/>
          <w:lang w:val="en-US" w:eastAsia="zh-CN"/>
        </w:rPr>
        <w:t>配套</w:t>
      </w:r>
      <w:r>
        <w:rPr>
          <w:rFonts w:hint="eastAsia" w:ascii="Times New Roman" w:hAnsi="Times New Roman" w:eastAsia="仿宋" w:cs="仿宋"/>
          <w:smallCaps w:val="0"/>
          <w:color w:val="auto"/>
          <w:spacing w:val="11"/>
          <w:sz w:val="32"/>
          <w:szCs w:val="32"/>
        </w:rPr>
        <w:t>措施，及时</w:t>
      </w:r>
      <w:r>
        <w:rPr>
          <w:rFonts w:hint="eastAsia" w:ascii="Times New Roman" w:hAnsi="Times New Roman" w:eastAsia="仿宋" w:cs="仿宋"/>
          <w:smallCaps w:val="0"/>
          <w:color w:val="auto"/>
          <w:spacing w:val="11"/>
          <w:sz w:val="32"/>
          <w:szCs w:val="32"/>
          <w:lang w:val="en-US" w:eastAsia="zh-CN"/>
        </w:rPr>
        <w:t>协调</w:t>
      </w:r>
      <w:r>
        <w:rPr>
          <w:rFonts w:hint="eastAsia" w:ascii="Times New Roman" w:hAnsi="Times New Roman" w:eastAsia="仿宋" w:cs="仿宋"/>
          <w:smallCaps w:val="0"/>
          <w:color w:val="auto"/>
          <w:spacing w:val="11"/>
          <w:sz w:val="32"/>
          <w:szCs w:val="32"/>
        </w:rPr>
        <w:t>解决规划实施中的重大问题，形成齐抓共管、协同推进规划落实的工作合力。实行规划实施目标责任考核，将矿产资源开发总量调控等主要约束性指标纳入目标体系管理，列入各级领导干部的业绩考核范围，压实各级管理责任。</w:t>
      </w:r>
    </w:p>
    <w:p w14:paraId="599B00F7">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ascii="Times New Roman" w:hAnsi="Times New Roman" w:eastAsia="仿宋" w:cs="仿宋"/>
          <w:smallCaps w:val="0"/>
          <w:color w:val="auto"/>
          <w:sz w:val="32"/>
          <w:szCs w:val="32"/>
        </w:rPr>
      </w:pPr>
      <w:r>
        <w:rPr>
          <w:rFonts w:hint="eastAsia" w:ascii="Times New Roman" w:hAnsi="Times New Roman" w:eastAsia="仿宋" w:cs="仿宋"/>
          <w:smallCaps w:val="0"/>
          <w:color w:val="auto"/>
          <w:spacing w:val="11"/>
          <w:sz w:val="32"/>
          <w:szCs w:val="32"/>
        </w:rPr>
        <w:t>完善规划年度实施制度，围绕开发强度调控、产业结构调整等核心目标任务，制定年度实施安排，编制矿业权年度出让计划，有序推进矿业权科学投放。健全规划实施动态评估机制，定期开展规划实施中期评估和期末评估，全面掌握开发强度调控、布局结构优化及主要目标任务完成情况，深入分析新形势、新问题，提出针对性解决方案，为规划管理决策、调整修订提供重要依据。严格执行矿产资源规划调整程序，规划调整须由编制机关向批准机关提出申请，经批准机关同意后方可组织实施，确保规划的严肃性和权威性。</w:t>
      </w:r>
    </w:p>
    <w:p w14:paraId="41FBD058">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33" w:name="bookmark23"/>
      <w:bookmarkEnd w:id="33"/>
      <w:bookmarkStart w:id="34" w:name="_Toc19445"/>
      <w:r>
        <w:rPr>
          <w:rFonts w:hint="eastAsia" w:ascii="黑体" w:hAnsi="黑体" w:eastAsia="黑体" w:cs="黑体"/>
          <w:b w:val="0"/>
          <w:bCs w:val="0"/>
          <w:smallCaps w:val="0"/>
          <w:color w:val="auto"/>
          <w:sz w:val="32"/>
          <w:szCs w:val="32"/>
          <w:lang w:val="en-US" w:eastAsia="zh-CN"/>
        </w:rPr>
        <w:t>二</w:t>
      </w:r>
      <w:r>
        <w:rPr>
          <w:rFonts w:hint="eastAsia" w:ascii="黑体" w:eastAsia="黑体" w:cs="黑体"/>
          <w:b w:val="0"/>
          <w:bCs w:val="0"/>
          <w:smallCaps w:val="0"/>
          <w:color w:val="auto"/>
          <w:sz w:val="32"/>
          <w:szCs w:val="32"/>
          <w:lang w:val="en-US" w:eastAsia="zh-CN"/>
        </w:rPr>
        <w:t>、</w:t>
      </w:r>
      <w:r>
        <w:rPr>
          <w:rFonts w:hint="default" w:ascii="黑体" w:hAnsi="黑体" w:eastAsia="黑体" w:cs="黑体"/>
          <w:b w:val="0"/>
          <w:bCs w:val="0"/>
          <w:smallCaps w:val="0"/>
          <w:color w:val="auto"/>
          <w:sz w:val="32"/>
          <w:szCs w:val="32"/>
          <w:lang w:val="en-US" w:eastAsia="zh-CN"/>
        </w:rPr>
        <w:t>矿业用地保障</w:t>
      </w:r>
      <w:bookmarkEnd w:id="34"/>
    </w:p>
    <w:p w14:paraId="2EEE0F10">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smallCaps w:val="0"/>
          <w:color w:val="auto"/>
          <w:spacing w:val="8"/>
          <w:sz w:val="32"/>
          <w:szCs w:val="32"/>
          <w:lang w:val="en-US" w:eastAsia="zh-CN"/>
        </w:rPr>
      </w:pPr>
      <w:r>
        <w:rPr>
          <w:rFonts w:hint="eastAsia" w:ascii="Times New Roman" w:hAnsi="Times New Roman" w:eastAsia="仿宋" w:cs="仿宋"/>
          <w:smallCaps w:val="0"/>
          <w:color w:val="auto"/>
          <w:spacing w:val="8"/>
          <w:sz w:val="32"/>
          <w:szCs w:val="32"/>
          <w:lang w:val="en-US" w:eastAsia="zh-CN"/>
        </w:rPr>
        <w:t>严格衔接银川市国土空间规划、矿产资源规划与土地利用年度计划，统筹保障矿产资源勘查开发、绿色矿山建设、矿山生态修复等相关用地需求。坚持“节约集约、优先利用、生态兼容”原则，优化矿业用地布局，严格控制矿业用地规模，杜绝土地资源浪费。重点保障国家规划矿区、砂石集中开采区、地热资源开发等重点项目用地，确保重点项目及时落地、有序推进。</w:t>
      </w:r>
    </w:p>
    <w:p w14:paraId="68D9499E">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eastAsia="仿宋" w:cs="仿宋"/>
          <w:smallCaps w:val="0"/>
          <w:color w:val="auto"/>
          <w:spacing w:val="8"/>
          <w:sz w:val="32"/>
          <w:szCs w:val="32"/>
          <w:lang w:val="en-US" w:eastAsia="zh-CN"/>
        </w:rPr>
      </w:pPr>
      <w:r>
        <w:rPr>
          <w:rFonts w:hint="eastAsia" w:ascii="Times New Roman" w:hAnsi="Times New Roman" w:eastAsia="仿宋" w:cs="仿宋"/>
          <w:smallCaps w:val="0"/>
          <w:color w:val="auto"/>
          <w:spacing w:val="8"/>
          <w:sz w:val="32"/>
          <w:szCs w:val="32"/>
          <w:lang w:val="en-US" w:eastAsia="zh-CN"/>
        </w:rPr>
        <w:t>规范矿业用地使用管理，严禁擅自改变用地性质、扩大用地规模；对临时使用土地的矿山项目，明确临时用地期限、复垦标准和主体责任，确保临时用地规范使用、按期复垦。落实自治区矿业用地相关优惠政策，对绿色矿山建设、矿山生态修复、废弃矿山综合治理等项目，在用地指标、土地出让金缴纳等方面给予倾斜支持；鼓励矿山企业利用闲置工矿用地、历史遗留矿山整治区域开展项目建设，推动存量土地盘活利用，提高土地利用效率。</w:t>
      </w:r>
    </w:p>
    <w:p w14:paraId="5F9FEEC9">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2"/>
        <w:jc w:val="both"/>
        <w:textAlignment w:val="baseline"/>
        <w:rPr>
          <w:rFonts w:hint="eastAsia" w:ascii="Times New Roman" w:hAnsi="Times New Roman"/>
          <w:smallCaps w:val="0"/>
          <w:lang w:val="en-US" w:eastAsia="zh-CN"/>
        </w:rPr>
      </w:pPr>
      <w:r>
        <w:rPr>
          <w:rFonts w:hint="eastAsia" w:ascii="Times New Roman" w:hAnsi="Times New Roman" w:eastAsia="仿宋" w:cs="仿宋"/>
          <w:smallCaps w:val="0"/>
          <w:color w:val="auto"/>
          <w:spacing w:val="8"/>
          <w:sz w:val="32"/>
          <w:szCs w:val="32"/>
          <w:lang w:val="en-US" w:eastAsia="zh-CN"/>
        </w:rPr>
        <w:t>加强矿业用地动态监管，依托银川市矿产资源综合监管系统，建立矿业用地使用台账，定期开展用地核查，及时发现并整改违规用地行为，确保矿业用地合法合规、高效利用。同步衔接生态保护红线、永久基本农田管控要求，严禁矿业用地侵占生态保护红线和永久基本农田，坚守生态保护和耕地保护底线。</w:t>
      </w:r>
    </w:p>
    <w:p w14:paraId="2312D23A">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35" w:name="_Toc965"/>
      <w:r>
        <w:rPr>
          <w:rFonts w:hint="eastAsia" w:ascii="黑体" w:hAnsi="黑体" w:eastAsia="黑体" w:cs="黑体"/>
          <w:b w:val="0"/>
          <w:bCs w:val="0"/>
          <w:smallCaps w:val="0"/>
          <w:color w:val="auto"/>
          <w:sz w:val="32"/>
          <w:szCs w:val="32"/>
          <w:lang w:val="en-US" w:eastAsia="zh-CN"/>
        </w:rPr>
        <w:t>三</w:t>
      </w:r>
      <w:r>
        <w:rPr>
          <w:rFonts w:hint="eastAsia" w:ascii="黑体" w:eastAsia="黑体" w:cs="黑体"/>
          <w:b w:val="0"/>
          <w:bCs w:val="0"/>
          <w:smallCaps w:val="0"/>
          <w:color w:val="auto"/>
          <w:sz w:val="32"/>
          <w:szCs w:val="32"/>
          <w:lang w:val="en-US" w:eastAsia="zh-CN"/>
        </w:rPr>
        <w:t>、</w:t>
      </w:r>
      <w:r>
        <w:rPr>
          <w:rFonts w:hint="eastAsia" w:ascii="黑体" w:hAnsi="黑体" w:eastAsia="黑体" w:cs="黑体"/>
          <w:b w:val="0"/>
          <w:bCs w:val="0"/>
          <w:smallCaps w:val="0"/>
          <w:color w:val="auto"/>
          <w:sz w:val="32"/>
          <w:szCs w:val="32"/>
          <w:lang w:val="en-US" w:eastAsia="zh-CN"/>
        </w:rPr>
        <w:t>健全完善规划实施评估调整机制</w:t>
      </w:r>
      <w:bookmarkEnd w:id="35"/>
    </w:p>
    <w:p w14:paraId="21311B94">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1"/>
        <w:jc w:val="both"/>
        <w:textAlignment w:val="baseline"/>
        <w:rPr>
          <w:rFonts w:hint="eastAsia" w:ascii="Times New Roman" w:hAnsi="Times New Roman" w:eastAsia="仿宋" w:cs="仿宋"/>
          <w:smallCaps w:val="0"/>
          <w:color w:val="auto"/>
          <w:spacing w:val="8"/>
          <w:sz w:val="32"/>
          <w:szCs w:val="32"/>
        </w:rPr>
      </w:pPr>
      <w:r>
        <w:rPr>
          <w:rFonts w:hint="eastAsia" w:ascii="Times New Roman" w:hAnsi="Times New Roman" w:eastAsia="仿宋" w:cs="仿宋"/>
          <w:smallCaps w:val="0"/>
          <w:color w:val="auto"/>
          <w:spacing w:val="8"/>
          <w:sz w:val="32"/>
          <w:szCs w:val="32"/>
        </w:rPr>
        <w:t>建立健全规划实施评估调整机制，银川市自然资源主管部门及规划编制承担单位，定期对规划中约束性指标和主要预期性指标完成情况进行评估，开展规划实施阶段性评估，评估结果作为调整和修订规划相应内容及相关指标的主要依据。</w:t>
      </w:r>
    </w:p>
    <w:p w14:paraId="1BD929B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1"/>
        <w:jc w:val="both"/>
        <w:textAlignment w:val="baseline"/>
        <w:rPr>
          <w:rFonts w:ascii="Times New Roman" w:hAnsi="Times New Roman" w:eastAsia="仿宋" w:cs="仿宋"/>
          <w:smallCaps w:val="0"/>
          <w:color w:val="auto"/>
          <w:sz w:val="32"/>
          <w:szCs w:val="32"/>
        </w:rPr>
      </w:pPr>
      <w:r>
        <w:rPr>
          <w:rFonts w:hint="eastAsia" w:ascii="Times New Roman" w:hAnsi="Times New Roman" w:eastAsia="仿宋" w:cs="仿宋"/>
          <w:smallCaps w:val="0"/>
          <w:color w:val="auto"/>
          <w:spacing w:val="8"/>
          <w:sz w:val="32"/>
          <w:szCs w:val="32"/>
        </w:rPr>
        <w:t>持续总结规划实施中的经验与不足，深入分析规划编制和实施过程中存在的问题，研判矿产资源开发与管理面临的新形势、新挑战，剖析影响规划目标任务落实的主要因素，有针对性地提出规划调整或修编的政策建议和调整方案，不断增强规划的科学性、针对性和可操作性，确保规划与区域发展实际、资源禀赋变化、生态保护要求相适应</w:t>
      </w:r>
      <w:r>
        <w:rPr>
          <w:rFonts w:ascii="Times New Roman" w:hAnsi="Times New Roman" w:eastAsia="仿宋" w:cs="仿宋"/>
          <w:smallCaps w:val="0"/>
          <w:color w:val="auto"/>
          <w:spacing w:val="6"/>
          <w:sz w:val="32"/>
          <w:szCs w:val="32"/>
        </w:rPr>
        <w:t>。</w:t>
      </w:r>
    </w:p>
    <w:p w14:paraId="6CCD5921">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36" w:name="bookmark24"/>
      <w:bookmarkEnd w:id="36"/>
      <w:bookmarkStart w:id="37" w:name="_Toc22425"/>
      <w:r>
        <w:rPr>
          <w:rFonts w:hint="eastAsia" w:ascii="黑体" w:hAnsi="黑体" w:eastAsia="黑体" w:cs="黑体"/>
          <w:b w:val="0"/>
          <w:bCs w:val="0"/>
          <w:smallCaps w:val="0"/>
          <w:color w:val="auto"/>
          <w:sz w:val="32"/>
          <w:szCs w:val="32"/>
          <w:lang w:val="en-US" w:eastAsia="zh-CN"/>
        </w:rPr>
        <w:t>四</w:t>
      </w:r>
      <w:r>
        <w:rPr>
          <w:rFonts w:hint="eastAsia" w:ascii="黑体" w:eastAsia="黑体" w:cs="黑体"/>
          <w:b w:val="0"/>
          <w:bCs w:val="0"/>
          <w:smallCaps w:val="0"/>
          <w:color w:val="auto"/>
          <w:sz w:val="32"/>
          <w:szCs w:val="32"/>
          <w:lang w:val="en-US" w:eastAsia="zh-CN"/>
        </w:rPr>
        <w:t>、</w:t>
      </w:r>
      <w:r>
        <w:rPr>
          <w:rFonts w:hint="eastAsia" w:ascii="黑体" w:hAnsi="黑体" w:eastAsia="黑体" w:cs="黑体"/>
          <w:b w:val="0"/>
          <w:bCs w:val="0"/>
          <w:smallCaps w:val="0"/>
          <w:color w:val="auto"/>
          <w:sz w:val="32"/>
          <w:szCs w:val="32"/>
          <w:lang w:val="en-US" w:eastAsia="zh-CN"/>
        </w:rPr>
        <w:t>加强规划实施情况监测与监督检查</w:t>
      </w:r>
      <w:bookmarkEnd w:id="37"/>
    </w:p>
    <w:p w14:paraId="5C51CA38">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9"/>
        <w:jc w:val="both"/>
        <w:textAlignment w:val="baseline"/>
        <w:rPr>
          <w:rFonts w:hint="eastAsia" w:ascii="Times New Roman" w:hAnsi="Times New Roman" w:eastAsia="仿宋" w:cs="仿宋"/>
          <w:smallCaps w:val="0"/>
          <w:color w:val="auto"/>
          <w:spacing w:val="22"/>
          <w:sz w:val="32"/>
          <w:szCs w:val="32"/>
        </w:rPr>
      </w:pPr>
      <w:r>
        <w:rPr>
          <w:rFonts w:hint="eastAsia" w:ascii="Times New Roman" w:hAnsi="Times New Roman" w:eastAsia="仿宋" w:cs="仿宋"/>
          <w:smallCaps w:val="0"/>
          <w:color w:val="auto"/>
          <w:spacing w:val="22"/>
          <w:sz w:val="32"/>
          <w:szCs w:val="32"/>
        </w:rPr>
        <w:t>银川市自然资源主管部门切实强化对规划执行情况的监督检查，建立完善规划执行情况定期报告与通报制度，健全规划评估机制与奖惩机制，倒逼规划各项任务落地。对矿产资源勘查、开发、绿色矿山建设、矿山生态修复等活动不符合矿产资源规划的，及时督促整改纠正；对违反规划进行勘查、开采，造成矿产资源破坏的违法行为，依法严肃查处。</w:t>
      </w:r>
    </w:p>
    <w:p w14:paraId="7E3B9CA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9"/>
        <w:jc w:val="both"/>
        <w:textAlignment w:val="baseline"/>
        <w:rPr>
          <w:rFonts w:ascii="Times New Roman" w:hAnsi="Times New Roman" w:eastAsia="仿宋" w:cs="仿宋"/>
          <w:smallCaps w:val="0"/>
          <w:color w:val="auto"/>
          <w:sz w:val="32"/>
          <w:szCs w:val="32"/>
        </w:rPr>
      </w:pPr>
      <w:r>
        <w:rPr>
          <w:rFonts w:hint="eastAsia" w:ascii="Times New Roman" w:hAnsi="Times New Roman" w:eastAsia="仿宋" w:cs="仿宋"/>
          <w:smallCaps w:val="0"/>
          <w:color w:val="auto"/>
          <w:spacing w:val="22"/>
          <w:sz w:val="32"/>
          <w:szCs w:val="32"/>
        </w:rPr>
        <w:t>必要时会同相关部门开展联合督查，启动问责程序，依法追究相关人员责任。将规划执行情况列为自然资源执法检查的重要内容，定期公布各地规划执行情况，主动接受社会监督，营造依法依规落实规划、严格规范矿业管理的良好氛围。</w:t>
      </w:r>
    </w:p>
    <w:p w14:paraId="76672D70">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38" w:name="bookmark25"/>
      <w:bookmarkEnd w:id="38"/>
      <w:bookmarkStart w:id="39" w:name="_Toc10564"/>
      <w:r>
        <w:rPr>
          <w:rFonts w:hint="eastAsia" w:ascii="黑体" w:hAnsi="黑体" w:eastAsia="黑体" w:cs="黑体"/>
          <w:b w:val="0"/>
          <w:bCs w:val="0"/>
          <w:smallCaps w:val="0"/>
          <w:color w:val="auto"/>
          <w:sz w:val="32"/>
          <w:szCs w:val="32"/>
          <w:lang w:val="en-US" w:eastAsia="zh-CN"/>
        </w:rPr>
        <w:t>五</w:t>
      </w:r>
      <w:r>
        <w:rPr>
          <w:rFonts w:hint="eastAsia" w:ascii="黑体" w:eastAsia="黑体" w:cs="黑体"/>
          <w:b w:val="0"/>
          <w:bCs w:val="0"/>
          <w:smallCaps w:val="0"/>
          <w:color w:val="auto"/>
          <w:sz w:val="32"/>
          <w:szCs w:val="32"/>
          <w:lang w:val="en-US" w:eastAsia="zh-CN"/>
        </w:rPr>
        <w:t>、</w:t>
      </w:r>
      <w:r>
        <w:rPr>
          <w:rFonts w:hint="eastAsia" w:ascii="黑体" w:hAnsi="黑体" w:eastAsia="黑体" w:cs="黑体"/>
          <w:b w:val="0"/>
          <w:bCs w:val="0"/>
          <w:smallCaps w:val="0"/>
          <w:color w:val="auto"/>
          <w:sz w:val="32"/>
          <w:szCs w:val="32"/>
          <w:lang w:val="en-US" w:eastAsia="zh-CN"/>
        </w:rPr>
        <w:t>提升规划管理智能化水平</w:t>
      </w:r>
      <w:bookmarkEnd w:id="39"/>
    </w:p>
    <w:p w14:paraId="3A07E647">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jc w:val="both"/>
        <w:textAlignment w:val="baseline"/>
        <w:rPr>
          <w:rFonts w:hint="eastAsia" w:ascii="Times New Roman" w:hAnsi="Times New Roman" w:eastAsia="仿宋" w:cs="仿宋"/>
          <w:smallCaps w:val="0"/>
          <w:color w:val="auto"/>
          <w:spacing w:val="8"/>
          <w:sz w:val="32"/>
          <w:szCs w:val="32"/>
        </w:rPr>
      </w:pPr>
      <w:r>
        <w:rPr>
          <w:rFonts w:hint="eastAsia" w:ascii="Times New Roman" w:hAnsi="Times New Roman" w:eastAsia="仿宋" w:cs="仿宋"/>
          <w:smallCaps w:val="0"/>
          <w:color w:val="auto"/>
          <w:spacing w:val="8"/>
          <w:sz w:val="32"/>
          <w:szCs w:val="32"/>
        </w:rPr>
        <w:t>加快完善市、县级矿产资源规划管理信息系统，健全矿产资源规划数据库，做好与宁夏矿政管理信息系统的衔接运用，全面贯彻网络安全和信息化国家战略，充分发挥现代化技术手段在规划编制、审批、实施和管理中的支撑作用，提升规划管理数字化、智能化水平。</w:t>
      </w:r>
    </w:p>
    <w:p w14:paraId="705597A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jc w:val="both"/>
        <w:textAlignment w:val="baseline"/>
        <w:rPr>
          <w:rFonts w:ascii="Times New Roman" w:hAnsi="Times New Roman" w:eastAsia="仿宋" w:cs="仿宋"/>
          <w:smallCaps w:val="0"/>
          <w:color w:val="auto"/>
          <w:spacing w:val="3"/>
          <w:sz w:val="32"/>
          <w:szCs w:val="32"/>
        </w:rPr>
        <w:sectPr>
          <w:pgSz w:w="11907" w:h="16839"/>
          <w:pgMar w:top="1440" w:right="1800" w:bottom="1440" w:left="1800" w:header="941" w:footer="945" w:gutter="0"/>
          <w:pgNumType w:fmt="decimal"/>
          <w:cols w:space="720" w:num="1"/>
        </w:sectPr>
      </w:pPr>
      <w:r>
        <w:rPr>
          <w:rFonts w:hint="eastAsia" w:ascii="Times New Roman" w:hAnsi="Times New Roman" w:eastAsia="仿宋" w:cs="仿宋"/>
          <w:smallCaps w:val="0"/>
          <w:color w:val="auto"/>
          <w:spacing w:val="8"/>
          <w:sz w:val="32"/>
          <w:szCs w:val="32"/>
        </w:rPr>
        <w:t>加强规划管理专业人才培养和队伍建设，着力培养一批懂规划编制、善实施推进、会评估管理的专业技术人才，不断提升队伍专业素质和依法行政能力，为规划有效实施提供坚实的人才保障，推动政府矿产资源规划编制管理水平持续提升</w:t>
      </w:r>
      <w:r>
        <w:rPr>
          <w:rFonts w:ascii="Times New Roman" w:hAnsi="Times New Roman" w:eastAsia="仿宋" w:cs="仿宋"/>
          <w:smallCaps w:val="0"/>
          <w:color w:val="auto"/>
          <w:spacing w:val="3"/>
          <w:sz w:val="32"/>
          <w:szCs w:val="32"/>
        </w:rPr>
        <w:t>。</w:t>
      </w:r>
    </w:p>
    <w:p w14:paraId="52916479">
      <w:pPr>
        <w:pStyle w:val="3"/>
        <w:keepNext w:val="0"/>
        <w:keepLines w:val="0"/>
        <w:pageBreakBefore w:val="0"/>
        <w:widowControl w:val="0"/>
        <w:kinsoku/>
        <w:wordWrap/>
        <w:overflowPunct/>
        <w:topLinePunct w:val="0"/>
        <w:autoSpaceDE w:val="0"/>
        <w:autoSpaceDN w:val="0"/>
        <w:bidi w:val="0"/>
        <w:adjustRightInd/>
        <w:snapToGrid/>
        <w:spacing w:before="120" w:after="120" w:afterLines="-2147483648" w:line="600" w:lineRule="exact"/>
        <w:ind w:firstLine="0" w:firstLineChars="0"/>
        <w:jc w:val="center"/>
        <w:textAlignment w:val="auto"/>
        <w:rPr>
          <w:rFonts w:hint="eastAsia" w:ascii="方正大标宋_GBK" w:hAnsi="方正大标宋_GBK" w:eastAsia="方正大标宋_GBK" w:cs="方正大标宋_GBK"/>
          <w:b w:val="0"/>
          <w:bCs w:val="0"/>
          <w:snapToGrid/>
          <w:color w:val="auto"/>
          <w:kern w:val="2"/>
          <w:sz w:val="36"/>
          <w:szCs w:val="36"/>
          <w:lang w:val="en-US" w:eastAsia="zh-CN" w:bidi="ar-SA"/>
        </w:rPr>
      </w:pPr>
      <w:bookmarkStart w:id="40" w:name="bookmark26"/>
      <w:bookmarkEnd w:id="40"/>
      <w:bookmarkStart w:id="41" w:name="_Toc20479"/>
      <w:r>
        <w:rPr>
          <w:rFonts w:hint="eastAsia" w:ascii="方正大标宋_GBK" w:hAnsi="方正大标宋_GBK" w:eastAsia="方正大标宋_GBK" w:cs="方正大标宋_GBK"/>
          <w:b w:val="0"/>
          <w:bCs w:val="0"/>
          <w:snapToGrid/>
          <w:color w:val="auto"/>
          <w:kern w:val="2"/>
          <w:sz w:val="36"/>
          <w:szCs w:val="36"/>
          <w:lang w:val="en-US" w:eastAsia="zh-CN" w:bidi="ar-SA"/>
        </w:rPr>
        <w:t>第九章   规划环境影响评价</w:t>
      </w:r>
      <w:bookmarkEnd w:id="41"/>
    </w:p>
    <w:p w14:paraId="6B2D4204">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0" w:leftChars="0" w:firstLine="640" w:firstLineChars="200"/>
        <w:textAlignment w:val="baseline"/>
        <w:rPr>
          <w:rFonts w:hint="eastAsia" w:ascii="黑体" w:hAnsi="黑体" w:eastAsia="黑体" w:cs="黑体"/>
          <w:b w:val="0"/>
          <w:bCs w:val="0"/>
          <w:smallCaps w:val="0"/>
          <w:color w:val="auto"/>
          <w:sz w:val="32"/>
          <w:szCs w:val="32"/>
          <w:lang w:val="en-US" w:eastAsia="zh-CN"/>
        </w:rPr>
      </w:pPr>
      <w:bookmarkStart w:id="42" w:name="bookmark38"/>
      <w:bookmarkEnd w:id="42"/>
      <w:bookmarkStart w:id="43" w:name="_Toc16141"/>
      <w:r>
        <w:rPr>
          <w:rFonts w:hint="eastAsia" w:ascii="黑体" w:hAnsi="黑体" w:eastAsia="黑体" w:cs="黑体"/>
          <w:b w:val="0"/>
          <w:bCs w:val="0"/>
          <w:smallCaps w:val="0"/>
          <w:color w:val="auto"/>
          <w:sz w:val="32"/>
          <w:szCs w:val="32"/>
          <w:lang w:val="en-US" w:eastAsia="zh-CN"/>
        </w:rPr>
        <w:t>一、规划协调性分析</w:t>
      </w:r>
      <w:bookmarkEnd w:id="43"/>
    </w:p>
    <w:p w14:paraId="09659BB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smallCaps w:val="0"/>
          <w:color w:val="auto"/>
          <w:sz w:val="32"/>
          <w:szCs w:val="32"/>
        </w:rPr>
      </w:pPr>
      <w:r>
        <w:rPr>
          <w:rFonts w:ascii="Times New Roman" w:hAnsi="Times New Roman" w:eastAsia="仿宋" w:cs="仿宋"/>
          <w:smallCaps w:val="0"/>
          <w:color w:val="auto"/>
          <w:spacing w:val="8"/>
          <w:sz w:val="32"/>
          <w:szCs w:val="32"/>
        </w:rPr>
        <w:t>《规划》是根据宁夏回族自治区“十</w:t>
      </w:r>
      <w:r>
        <w:rPr>
          <w:rFonts w:hint="eastAsia" w:ascii="Times New Roman" w:hAnsi="Times New Roman" w:eastAsia="仿宋" w:cs="仿宋"/>
          <w:smallCaps w:val="0"/>
          <w:color w:val="auto"/>
          <w:spacing w:val="8"/>
          <w:sz w:val="32"/>
          <w:szCs w:val="32"/>
          <w:lang w:val="en-US" w:eastAsia="zh-CN"/>
        </w:rPr>
        <w:t>五</w:t>
      </w:r>
      <w:r>
        <w:rPr>
          <w:rFonts w:ascii="Times New Roman" w:hAnsi="Times New Roman" w:eastAsia="仿宋" w:cs="仿宋"/>
          <w:smallCaps w:val="0"/>
          <w:color w:val="auto"/>
          <w:spacing w:val="8"/>
          <w:sz w:val="32"/>
          <w:szCs w:val="32"/>
        </w:rPr>
        <w:t>五”矿产资源经济发展方向，结合银川市区域经济发展状况，在矿产开发与资源产业布局、矿产资源开发管理、</w:t>
      </w:r>
      <w:r>
        <w:rPr>
          <w:rFonts w:hint="eastAsia" w:ascii="Times New Roman" w:hAnsi="Times New Roman" w:eastAsia="仿宋" w:cs="仿宋"/>
          <w:smallCaps w:val="0"/>
          <w:color w:val="auto"/>
          <w:spacing w:val="8"/>
          <w:sz w:val="32"/>
          <w:szCs w:val="32"/>
          <w:lang w:val="en-US" w:eastAsia="zh-CN"/>
        </w:rPr>
        <w:t>矿区生态修复</w:t>
      </w:r>
      <w:r>
        <w:rPr>
          <w:rFonts w:ascii="Times New Roman" w:hAnsi="Times New Roman" w:eastAsia="仿宋" w:cs="仿宋"/>
          <w:smallCaps w:val="0"/>
          <w:color w:val="auto"/>
          <w:spacing w:val="8"/>
          <w:sz w:val="32"/>
          <w:szCs w:val="32"/>
        </w:rPr>
        <w:t>、绿色矿山建设方面提出了具体要求。《规划》与</w:t>
      </w:r>
      <w:r>
        <w:rPr>
          <w:rFonts w:ascii="Times New Roman" w:hAnsi="Times New Roman" w:eastAsia="仿宋" w:cs="仿宋"/>
          <w:smallCaps w:val="0"/>
          <w:color w:val="auto"/>
          <w:spacing w:val="21"/>
          <w:sz w:val="32"/>
          <w:szCs w:val="32"/>
        </w:rPr>
        <w:t>《宁夏回族自治区国民经济和社会发展第十</w:t>
      </w:r>
      <w:r>
        <w:rPr>
          <w:rFonts w:hint="eastAsia" w:ascii="Times New Roman" w:hAnsi="Times New Roman" w:eastAsia="仿宋" w:cs="仿宋"/>
          <w:smallCaps w:val="0"/>
          <w:color w:val="auto"/>
          <w:spacing w:val="21"/>
          <w:sz w:val="32"/>
          <w:szCs w:val="32"/>
          <w:lang w:val="en-US" w:eastAsia="zh-CN"/>
        </w:rPr>
        <w:t>五</w:t>
      </w:r>
      <w:r>
        <w:rPr>
          <w:rFonts w:ascii="Times New Roman" w:hAnsi="Times New Roman" w:eastAsia="仿宋" w:cs="仿宋"/>
          <w:smallCaps w:val="0"/>
          <w:color w:val="auto"/>
          <w:spacing w:val="21"/>
          <w:sz w:val="32"/>
          <w:szCs w:val="32"/>
        </w:rPr>
        <w:t>个五年规划</w:t>
      </w:r>
      <w:r>
        <w:rPr>
          <w:rFonts w:ascii="Times New Roman" w:hAnsi="Times New Roman" w:eastAsia="仿宋" w:cs="仿宋"/>
          <w:smallCaps w:val="0"/>
          <w:color w:val="auto"/>
          <w:spacing w:val="-3"/>
          <w:sz w:val="32"/>
          <w:szCs w:val="32"/>
        </w:rPr>
        <w:t>和二〇三五年远景目标纲要》《宁夏主体功</w:t>
      </w:r>
      <w:r>
        <w:rPr>
          <w:rFonts w:ascii="Times New Roman" w:hAnsi="Times New Roman" w:eastAsia="仿宋" w:cs="仿宋"/>
          <w:smallCaps w:val="0"/>
          <w:color w:val="auto"/>
          <w:spacing w:val="-4"/>
          <w:sz w:val="32"/>
          <w:szCs w:val="32"/>
        </w:rPr>
        <w:t>能区规划》《宁夏</w:t>
      </w:r>
      <w:r>
        <w:rPr>
          <w:rFonts w:ascii="Times New Roman" w:hAnsi="Times New Roman" w:eastAsia="仿宋" w:cs="仿宋"/>
          <w:smallCaps w:val="0"/>
          <w:color w:val="auto"/>
          <w:spacing w:val="8"/>
          <w:sz w:val="32"/>
          <w:szCs w:val="32"/>
        </w:rPr>
        <w:t>空间发展战略规划》以及《银川市国民经济和社会发展第十</w:t>
      </w:r>
      <w:r>
        <w:rPr>
          <w:rFonts w:hint="eastAsia" w:ascii="Times New Roman" w:hAnsi="Times New Roman" w:eastAsia="仿宋" w:cs="仿宋"/>
          <w:smallCaps w:val="0"/>
          <w:color w:val="auto"/>
          <w:spacing w:val="15"/>
          <w:sz w:val="32"/>
          <w:szCs w:val="32"/>
          <w:lang w:val="en-US" w:eastAsia="zh-CN"/>
        </w:rPr>
        <w:t>五</w:t>
      </w:r>
      <w:r>
        <w:rPr>
          <w:rFonts w:ascii="Times New Roman" w:hAnsi="Times New Roman" w:eastAsia="仿宋" w:cs="仿宋"/>
          <w:smallCaps w:val="0"/>
          <w:color w:val="auto"/>
          <w:spacing w:val="7"/>
          <w:sz w:val="32"/>
          <w:szCs w:val="32"/>
        </w:rPr>
        <w:t>个五年规划和2035年远景目标纲</w:t>
      </w:r>
      <w:r>
        <w:rPr>
          <w:rFonts w:ascii="Times New Roman" w:hAnsi="Times New Roman" w:eastAsia="仿宋" w:cs="仿宋"/>
          <w:smallCaps w:val="0"/>
          <w:color w:val="auto"/>
          <w:spacing w:val="6"/>
          <w:sz w:val="32"/>
          <w:szCs w:val="32"/>
        </w:rPr>
        <w:t>要》方向相符，通过实</w:t>
      </w:r>
      <w:r>
        <w:rPr>
          <w:rFonts w:ascii="Times New Roman" w:hAnsi="Times New Roman" w:eastAsia="仿宋" w:cs="仿宋"/>
          <w:smallCaps w:val="0"/>
          <w:color w:val="auto"/>
          <w:spacing w:val="8"/>
          <w:sz w:val="32"/>
          <w:szCs w:val="32"/>
        </w:rPr>
        <w:t>施规划项目可以促进银川市矿产资源健康、有序、可持续发</w:t>
      </w:r>
      <w:r>
        <w:rPr>
          <w:rFonts w:ascii="Times New Roman" w:hAnsi="Times New Roman" w:eastAsia="仿宋" w:cs="仿宋"/>
          <w:smallCaps w:val="0"/>
          <w:color w:val="auto"/>
          <w:spacing w:val="-12"/>
          <w:sz w:val="32"/>
          <w:szCs w:val="32"/>
        </w:rPr>
        <w:t>展。</w:t>
      </w:r>
    </w:p>
    <w:p w14:paraId="76E2A93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smallCaps w:val="0"/>
          <w:color w:val="auto"/>
          <w:spacing w:val="-6"/>
          <w:sz w:val="32"/>
          <w:szCs w:val="32"/>
        </w:rPr>
      </w:pPr>
      <w:r>
        <w:rPr>
          <w:rFonts w:ascii="Times New Roman" w:hAnsi="Times New Roman" w:eastAsia="仿宋" w:cs="仿宋"/>
          <w:smallCaps w:val="0"/>
          <w:color w:val="auto"/>
          <w:spacing w:val="8"/>
          <w:sz w:val="32"/>
          <w:szCs w:val="32"/>
        </w:rPr>
        <w:t>《规划》的编制是在《宁夏回族自治区矿产资源总体规</w:t>
      </w:r>
      <w:r>
        <w:rPr>
          <w:rFonts w:ascii="Times New Roman" w:hAnsi="Times New Roman" w:eastAsia="仿宋" w:cs="仿宋"/>
          <w:smallCaps w:val="0"/>
          <w:color w:val="auto"/>
          <w:spacing w:val="-3"/>
          <w:sz w:val="32"/>
          <w:szCs w:val="32"/>
        </w:rPr>
        <w:t>划（202</w:t>
      </w:r>
      <w:r>
        <w:rPr>
          <w:rFonts w:hint="eastAsia" w:ascii="Times New Roman" w:hAnsi="Times New Roman" w:eastAsia="仿宋" w:cs="仿宋"/>
          <w:smallCaps w:val="0"/>
          <w:color w:val="auto"/>
          <w:spacing w:val="-3"/>
          <w:sz w:val="32"/>
          <w:szCs w:val="32"/>
          <w:lang w:val="en-US" w:eastAsia="zh-CN"/>
        </w:rPr>
        <w:t>6</w:t>
      </w:r>
      <w:r>
        <w:rPr>
          <w:rFonts w:ascii="Times New Roman" w:hAnsi="Times New Roman" w:eastAsia="仿宋" w:cs="仿宋"/>
          <w:smallCaps w:val="0"/>
          <w:color w:val="auto"/>
          <w:spacing w:val="-3"/>
          <w:sz w:val="32"/>
          <w:szCs w:val="32"/>
        </w:rPr>
        <w:t>-20</w:t>
      </w:r>
      <w:r>
        <w:rPr>
          <w:rFonts w:hint="eastAsia" w:ascii="Times New Roman" w:hAnsi="Times New Roman" w:eastAsia="仿宋" w:cs="仿宋"/>
          <w:smallCaps w:val="0"/>
          <w:color w:val="auto"/>
          <w:spacing w:val="-3"/>
          <w:sz w:val="32"/>
          <w:szCs w:val="32"/>
          <w:lang w:val="en-US" w:eastAsia="zh-CN"/>
        </w:rPr>
        <w:t>30</w:t>
      </w:r>
      <w:r>
        <w:rPr>
          <w:rFonts w:ascii="Times New Roman" w:hAnsi="Times New Roman" w:eastAsia="仿宋" w:cs="仿宋"/>
          <w:smallCaps w:val="0"/>
          <w:color w:val="auto"/>
          <w:spacing w:val="-3"/>
          <w:sz w:val="32"/>
          <w:szCs w:val="32"/>
        </w:rPr>
        <w:t>年）》的指导下完成的。《规划》依据银川市</w:t>
      </w:r>
      <w:r>
        <w:rPr>
          <w:rFonts w:ascii="Times New Roman" w:hAnsi="Times New Roman" w:eastAsia="仿宋" w:cs="仿宋"/>
          <w:smallCaps w:val="0"/>
          <w:color w:val="auto"/>
          <w:spacing w:val="8"/>
          <w:sz w:val="32"/>
          <w:szCs w:val="32"/>
        </w:rPr>
        <w:t>矿产资源实际情况，在矿产资源勘查开发调控方向、矿产资</w:t>
      </w:r>
      <w:r>
        <w:rPr>
          <w:rFonts w:ascii="Times New Roman" w:hAnsi="Times New Roman" w:eastAsia="仿宋" w:cs="仿宋"/>
          <w:smallCaps w:val="0"/>
          <w:color w:val="auto"/>
          <w:spacing w:val="21"/>
          <w:sz w:val="32"/>
          <w:szCs w:val="32"/>
        </w:rPr>
        <w:t>源产业重点发展区域以及矿业布局优化调整与转型升级等</w:t>
      </w:r>
      <w:r>
        <w:rPr>
          <w:rFonts w:ascii="Times New Roman" w:hAnsi="Times New Roman" w:eastAsia="仿宋" w:cs="仿宋"/>
          <w:smallCaps w:val="0"/>
          <w:color w:val="auto"/>
          <w:spacing w:val="8"/>
          <w:sz w:val="32"/>
          <w:szCs w:val="32"/>
        </w:rPr>
        <w:t>方面提出了管理政策措施，与《宁夏回族自治区矿产资源总</w:t>
      </w:r>
      <w:r>
        <w:rPr>
          <w:rFonts w:ascii="Times New Roman" w:hAnsi="Times New Roman" w:eastAsia="仿宋" w:cs="仿宋"/>
          <w:smallCaps w:val="0"/>
          <w:color w:val="auto"/>
          <w:spacing w:val="-6"/>
          <w:sz w:val="32"/>
          <w:szCs w:val="32"/>
        </w:rPr>
        <w:t>体规划（202</w:t>
      </w:r>
      <w:r>
        <w:rPr>
          <w:rFonts w:hint="eastAsia" w:ascii="Times New Roman" w:hAnsi="Times New Roman" w:eastAsia="仿宋" w:cs="仿宋"/>
          <w:smallCaps w:val="0"/>
          <w:color w:val="auto"/>
          <w:spacing w:val="-6"/>
          <w:sz w:val="32"/>
          <w:szCs w:val="32"/>
          <w:lang w:val="en-US" w:eastAsia="zh-CN"/>
        </w:rPr>
        <w:t>6</w:t>
      </w:r>
      <w:r>
        <w:rPr>
          <w:rFonts w:ascii="Times New Roman" w:hAnsi="Times New Roman" w:eastAsia="仿宋" w:cs="仿宋"/>
          <w:smallCaps w:val="0"/>
          <w:color w:val="auto"/>
          <w:spacing w:val="-6"/>
          <w:sz w:val="32"/>
          <w:szCs w:val="32"/>
        </w:rPr>
        <w:t>-20</w:t>
      </w:r>
      <w:r>
        <w:rPr>
          <w:rFonts w:hint="eastAsia" w:ascii="Times New Roman" w:hAnsi="Times New Roman" w:eastAsia="仿宋" w:cs="仿宋"/>
          <w:smallCaps w:val="0"/>
          <w:color w:val="auto"/>
          <w:spacing w:val="-6"/>
          <w:sz w:val="32"/>
          <w:szCs w:val="32"/>
          <w:lang w:val="en-US" w:eastAsia="zh-CN"/>
        </w:rPr>
        <w:t>30</w:t>
      </w:r>
      <w:r>
        <w:rPr>
          <w:rFonts w:ascii="Times New Roman" w:hAnsi="Times New Roman" w:eastAsia="仿宋" w:cs="仿宋"/>
          <w:smallCaps w:val="0"/>
          <w:color w:val="auto"/>
          <w:spacing w:val="-6"/>
          <w:sz w:val="32"/>
          <w:szCs w:val="32"/>
        </w:rPr>
        <w:t>年）》相符。</w:t>
      </w:r>
    </w:p>
    <w:p w14:paraId="471FC5F0">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smallCaps w:val="0"/>
          <w:color w:val="auto"/>
          <w:sz w:val="32"/>
          <w:szCs w:val="32"/>
        </w:rPr>
      </w:pPr>
      <w:r>
        <w:rPr>
          <w:rFonts w:ascii="Times New Roman" w:hAnsi="Times New Roman" w:eastAsia="仿宋" w:cs="仿宋"/>
          <w:smallCaps w:val="0"/>
          <w:color w:val="auto"/>
          <w:spacing w:val="8"/>
          <w:sz w:val="32"/>
          <w:szCs w:val="32"/>
        </w:rPr>
        <w:t>《规划》中勘查规划区块、开采规划区块不涉及永久基</w:t>
      </w:r>
      <w:r>
        <w:rPr>
          <w:rFonts w:ascii="Times New Roman" w:hAnsi="Times New Roman" w:eastAsia="仿宋" w:cs="仿宋"/>
          <w:smallCaps w:val="0"/>
          <w:color w:val="auto"/>
          <w:spacing w:val="12"/>
          <w:sz w:val="32"/>
          <w:szCs w:val="32"/>
        </w:rPr>
        <w:t>本农田、生态保护红线、自然保护地、饮用水水源保护区、</w:t>
      </w:r>
      <w:r>
        <w:rPr>
          <w:rFonts w:ascii="Times New Roman" w:hAnsi="Times New Roman" w:eastAsia="仿宋" w:cs="仿宋"/>
          <w:smallCaps w:val="0"/>
          <w:color w:val="auto"/>
          <w:spacing w:val="3"/>
          <w:sz w:val="32"/>
          <w:szCs w:val="32"/>
        </w:rPr>
        <w:t>文物保护区等重点保护区域，认真贯彻执行《中华人</w:t>
      </w:r>
      <w:r>
        <w:rPr>
          <w:rFonts w:ascii="Times New Roman" w:hAnsi="Times New Roman" w:eastAsia="仿宋" w:cs="仿宋"/>
          <w:smallCaps w:val="0"/>
          <w:color w:val="auto"/>
          <w:spacing w:val="2"/>
          <w:sz w:val="32"/>
          <w:szCs w:val="32"/>
        </w:rPr>
        <w:t>民共和</w:t>
      </w:r>
      <w:r>
        <w:rPr>
          <w:rFonts w:ascii="Times New Roman" w:hAnsi="Times New Roman" w:eastAsia="仿宋" w:cs="仿宋"/>
          <w:smallCaps w:val="0"/>
          <w:color w:val="auto"/>
          <w:spacing w:val="-5"/>
          <w:sz w:val="32"/>
          <w:szCs w:val="32"/>
        </w:rPr>
        <w:t>国矿产资源法》、《中华人民共和国环境保护法》《中华人民</w:t>
      </w:r>
      <w:r>
        <w:rPr>
          <w:rFonts w:ascii="Times New Roman" w:hAnsi="Times New Roman" w:eastAsia="仿宋" w:cs="仿宋"/>
          <w:smallCaps w:val="0"/>
          <w:color w:val="auto"/>
          <w:spacing w:val="2"/>
          <w:sz w:val="32"/>
          <w:szCs w:val="32"/>
        </w:rPr>
        <w:t>共和国环境影响评价法》、《宁夏回族自治区环境保护条例》</w:t>
      </w:r>
      <w:r>
        <w:rPr>
          <w:rFonts w:ascii="Times New Roman" w:hAnsi="Times New Roman" w:eastAsia="仿宋" w:cs="仿宋"/>
          <w:smallCaps w:val="0"/>
          <w:color w:val="auto"/>
          <w:spacing w:val="8"/>
          <w:sz w:val="32"/>
          <w:szCs w:val="32"/>
        </w:rPr>
        <w:t>等政策法规。加强环境影响评价、矿山环境监督管理，建立长效机制，并对矿产资源综合利用提出相应要求，与《矿山生态环境保护与污染防治技术政策》相符。</w:t>
      </w:r>
    </w:p>
    <w:p w14:paraId="258ED7B3">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44" w:name="bookmark29"/>
      <w:bookmarkEnd w:id="44"/>
      <w:bookmarkStart w:id="45" w:name="_Toc25812"/>
      <w:r>
        <w:rPr>
          <w:rFonts w:hint="eastAsia" w:ascii="黑体" w:hAnsi="黑体" w:eastAsia="黑体" w:cs="黑体"/>
          <w:b w:val="0"/>
          <w:bCs w:val="0"/>
          <w:smallCaps w:val="0"/>
          <w:color w:val="auto"/>
          <w:sz w:val="32"/>
          <w:szCs w:val="32"/>
          <w:lang w:val="en-US" w:eastAsia="zh-CN"/>
        </w:rPr>
        <w:t>二</w:t>
      </w:r>
      <w:r>
        <w:rPr>
          <w:rFonts w:hint="eastAsia" w:ascii="黑体" w:eastAsia="黑体" w:cs="黑体"/>
          <w:b w:val="0"/>
          <w:bCs w:val="0"/>
          <w:smallCaps w:val="0"/>
          <w:color w:val="auto"/>
          <w:sz w:val="32"/>
          <w:szCs w:val="32"/>
          <w:lang w:val="en-US" w:eastAsia="zh-CN"/>
        </w:rPr>
        <w:t>、</w:t>
      </w:r>
      <w:r>
        <w:rPr>
          <w:rFonts w:hint="eastAsia" w:ascii="黑体" w:hAnsi="黑体" w:eastAsia="黑体" w:cs="黑体"/>
          <w:b w:val="0"/>
          <w:bCs w:val="0"/>
          <w:smallCaps w:val="0"/>
          <w:color w:val="auto"/>
          <w:sz w:val="32"/>
          <w:szCs w:val="32"/>
          <w:lang w:val="en-US" w:eastAsia="zh-CN"/>
        </w:rPr>
        <w:t>规划环境影响分析</w:t>
      </w:r>
      <w:bookmarkEnd w:id="45"/>
    </w:p>
    <w:p w14:paraId="0B2AE120">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8"/>
          <w:sz w:val="32"/>
          <w:szCs w:val="32"/>
        </w:rPr>
        <w:t>根据原环境保护部和原国土资源部《关于做好矿产资源</w:t>
      </w:r>
      <w:r>
        <w:rPr>
          <w:rFonts w:ascii="Times New Roman" w:hAnsi="Times New Roman" w:eastAsia="仿宋" w:cs="仿宋"/>
          <w:b w:val="0"/>
          <w:bCs w:val="0"/>
          <w:smallCaps w:val="0"/>
          <w:color w:val="auto"/>
          <w:spacing w:val="-8"/>
          <w:sz w:val="32"/>
          <w:szCs w:val="32"/>
        </w:rPr>
        <w:t>规划环境影响评价工作的通知》（环发〔2015</w:t>
      </w:r>
      <w:r>
        <w:rPr>
          <w:rFonts w:ascii="Times New Roman" w:hAnsi="Times New Roman" w:eastAsia="仿宋" w:cs="仿宋"/>
          <w:b w:val="0"/>
          <w:bCs w:val="0"/>
          <w:smallCaps w:val="0"/>
          <w:color w:val="auto"/>
          <w:spacing w:val="-9"/>
          <w:sz w:val="32"/>
          <w:szCs w:val="32"/>
        </w:rPr>
        <w:t>〕158号）要求，</w:t>
      </w:r>
      <w:r>
        <w:rPr>
          <w:rFonts w:ascii="Times New Roman" w:hAnsi="Times New Roman" w:eastAsia="仿宋" w:cs="仿宋"/>
          <w:b w:val="0"/>
          <w:bCs w:val="0"/>
          <w:smallCaps w:val="0"/>
          <w:color w:val="auto"/>
          <w:spacing w:val="8"/>
          <w:sz w:val="32"/>
          <w:szCs w:val="32"/>
        </w:rPr>
        <w:t>《规划》环境影响评价主要是围绕砂石粘土及小型非金属矿等资源的开发利用与保护活动开展的。煤炭等二类矿产环境</w:t>
      </w:r>
      <w:r>
        <w:rPr>
          <w:rFonts w:ascii="Times New Roman" w:hAnsi="Times New Roman" w:eastAsia="仿宋" w:cs="仿宋"/>
          <w:b w:val="0"/>
          <w:bCs w:val="0"/>
          <w:smallCaps w:val="0"/>
          <w:color w:val="auto"/>
          <w:spacing w:val="-1"/>
          <w:sz w:val="32"/>
          <w:szCs w:val="32"/>
        </w:rPr>
        <w:t>影响评价由《宁夏自治区矿产资源规划（202</w:t>
      </w:r>
      <w:r>
        <w:rPr>
          <w:rFonts w:hint="eastAsia" w:ascii="Times New Roman" w:hAnsi="Times New Roman" w:eastAsia="仿宋" w:cs="仿宋"/>
          <w:b w:val="0"/>
          <w:bCs w:val="0"/>
          <w:smallCaps w:val="0"/>
          <w:color w:val="auto"/>
          <w:spacing w:val="-2"/>
          <w:sz w:val="32"/>
          <w:szCs w:val="32"/>
          <w:lang w:val="en-US" w:eastAsia="zh-CN"/>
        </w:rPr>
        <w:t>6</w:t>
      </w:r>
      <w:r>
        <w:rPr>
          <w:rFonts w:ascii="Times New Roman" w:hAnsi="Times New Roman" w:eastAsia="仿宋" w:cs="仿宋"/>
          <w:b w:val="0"/>
          <w:bCs w:val="0"/>
          <w:smallCaps w:val="0"/>
          <w:color w:val="auto"/>
          <w:spacing w:val="-2"/>
          <w:sz w:val="32"/>
          <w:szCs w:val="32"/>
        </w:rPr>
        <w:t>-20</w:t>
      </w:r>
      <w:r>
        <w:rPr>
          <w:rFonts w:hint="eastAsia" w:ascii="Times New Roman" w:hAnsi="Times New Roman" w:eastAsia="仿宋" w:cs="仿宋"/>
          <w:b w:val="0"/>
          <w:bCs w:val="0"/>
          <w:smallCaps w:val="0"/>
          <w:color w:val="auto"/>
          <w:spacing w:val="-2"/>
          <w:sz w:val="32"/>
          <w:szCs w:val="32"/>
          <w:lang w:val="en-US" w:eastAsia="zh-CN"/>
        </w:rPr>
        <w:t>30</w:t>
      </w:r>
      <w:r>
        <w:rPr>
          <w:rFonts w:ascii="Times New Roman" w:hAnsi="Times New Roman" w:eastAsia="仿宋" w:cs="仿宋"/>
          <w:b w:val="0"/>
          <w:bCs w:val="0"/>
          <w:smallCaps w:val="0"/>
          <w:color w:val="auto"/>
          <w:spacing w:val="-2"/>
          <w:sz w:val="32"/>
          <w:szCs w:val="32"/>
        </w:rPr>
        <w:t>年）》涉</w:t>
      </w:r>
      <w:r>
        <w:rPr>
          <w:rFonts w:ascii="Times New Roman" w:hAnsi="Times New Roman" w:eastAsia="仿宋" w:cs="仿宋"/>
          <w:b w:val="0"/>
          <w:bCs w:val="0"/>
          <w:smallCaps w:val="0"/>
          <w:color w:val="auto"/>
          <w:spacing w:val="8"/>
          <w:sz w:val="32"/>
          <w:szCs w:val="32"/>
        </w:rPr>
        <w:t>及，本次《规划》环境影响评价只涉及砂石粘土矿等资源开</w:t>
      </w:r>
      <w:r>
        <w:rPr>
          <w:rFonts w:ascii="Times New Roman" w:hAnsi="Times New Roman" w:eastAsia="仿宋" w:cs="仿宋"/>
          <w:b w:val="0"/>
          <w:bCs w:val="0"/>
          <w:smallCaps w:val="0"/>
          <w:color w:val="auto"/>
          <w:spacing w:val="5"/>
          <w:sz w:val="32"/>
          <w:szCs w:val="32"/>
        </w:rPr>
        <w:t>发利用对环境的影响，具体分析如下：</w:t>
      </w:r>
    </w:p>
    <w:p w14:paraId="73200EF4">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（一）生态环境影响</w:t>
      </w:r>
    </w:p>
    <w:p w14:paraId="7DB01333">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8"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7"/>
          <w:sz w:val="32"/>
          <w:szCs w:val="32"/>
        </w:rPr>
        <w:t>地形地貌影响：银川市砂石矿均为露天开采，露天开</w:t>
      </w:r>
      <w:r>
        <w:rPr>
          <w:rFonts w:ascii="Times New Roman" w:hAnsi="Times New Roman" w:eastAsia="仿宋" w:cs="仿宋"/>
          <w:b w:val="0"/>
          <w:bCs w:val="0"/>
          <w:smallCaps w:val="0"/>
          <w:color w:val="auto"/>
          <w:spacing w:val="8"/>
          <w:sz w:val="32"/>
          <w:szCs w:val="32"/>
        </w:rPr>
        <w:t>挖后将形成采坑，外排土场将形成人造山丘，对地形地貌影响较大。随着开采推进和生态重建的发展，外排土场最终形成台阶状顶部平坦的人造山丘，采掘场最终形成地势平坦开阔的平台和台阶状的深坑。形成的排土场土地集中连片，便于机械化作业，有利于提高土地的节约集约利用程度，在严格落实生态环境相关恢复和保护措施下，对恢复生态环境具</w:t>
      </w:r>
      <w:r>
        <w:rPr>
          <w:rFonts w:ascii="Times New Roman" w:hAnsi="Times New Roman" w:eastAsia="仿宋" w:cs="仿宋"/>
          <w:b w:val="0"/>
          <w:bCs w:val="0"/>
          <w:smallCaps w:val="0"/>
          <w:color w:val="auto"/>
          <w:spacing w:val="1"/>
          <w:sz w:val="32"/>
          <w:szCs w:val="32"/>
        </w:rPr>
        <w:t>有正面作用。</w:t>
      </w:r>
    </w:p>
    <w:p w14:paraId="20888BE3">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4"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6"/>
          <w:sz w:val="32"/>
          <w:szCs w:val="32"/>
        </w:rPr>
        <w:t>土地利用影响</w:t>
      </w:r>
      <w:r>
        <w:rPr>
          <w:rFonts w:hint="eastAsia" w:ascii="Times New Roman" w:hAnsi="Times New Roman" w:eastAsia="仿宋" w:cs="仿宋"/>
          <w:b w:val="0"/>
          <w:bCs w:val="0"/>
          <w:smallCaps w:val="0"/>
          <w:color w:val="auto"/>
          <w:spacing w:val="6"/>
          <w:sz w:val="32"/>
          <w:szCs w:val="32"/>
          <w:lang w:eastAsia="zh-CN"/>
        </w:rPr>
        <w:t>：</w:t>
      </w:r>
      <w:r>
        <w:rPr>
          <w:rFonts w:ascii="Times New Roman" w:hAnsi="Times New Roman" w:eastAsia="仿宋" w:cs="仿宋"/>
          <w:b w:val="0"/>
          <w:bCs w:val="0"/>
          <w:smallCaps w:val="0"/>
          <w:color w:val="auto"/>
          <w:spacing w:val="8"/>
          <w:sz w:val="32"/>
          <w:szCs w:val="32"/>
        </w:rPr>
        <w:t>矿山的建设将使原土地利用类型变为工矿用地，矿山建设区域工矿用地大量增加。规划实施造成了矿山建设区域土地利用结构的改变，但从整体来看，矿山的建设不会对整体区域的土地利用结构和功能产生较大影响。</w:t>
      </w:r>
    </w:p>
    <w:p w14:paraId="664346B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4"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6"/>
          <w:sz w:val="32"/>
          <w:szCs w:val="32"/>
        </w:rPr>
        <w:t>水土流失影响</w:t>
      </w:r>
      <w:r>
        <w:rPr>
          <w:rFonts w:hint="eastAsia" w:ascii="Times New Roman" w:hAnsi="Times New Roman" w:eastAsia="仿宋" w:cs="仿宋"/>
          <w:b w:val="0"/>
          <w:bCs w:val="0"/>
          <w:smallCaps w:val="0"/>
          <w:color w:val="auto"/>
          <w:spacing w:val="6"/>
          <w:sz w:val="32"/>
          <w:szCs w:val="32"/>
          <w:lang w:eastAsia="zh-CN"/>
        </w:rPr>
        <w:t>：</w:t>
      </w:r>
      <w:r>
        <w:rPr>
          <w:rFonts w:ascii="Times New Roman" w:hAnsi="Times New Roman" w:eastAsia="仿宋" w:cs="仿宋"/>
          <w:b w:val="0"/>
          <w:bCs w:val="0"/>
          <w:smallCaps w:val="0"/>
          <w:color w:val="auto"/>
          <w:spacing w:val="8"/>
          <w:sz w:val="32"/>
          <w:szCs w:val="32"/>
        </w:rPr>
        <w:t>废石场边坡形成的大量松散固体物质堆积，极易造成土壤侵蚀范围及其强度的扩大化，在合理调整规划项目的生态优化措施及生产方式和实施复垦计划的条件下，可减少土壤</w:t>
      </w:r>
      <w:r>
        <w:rPr>
          <w:rFonts w:ascii="Times New Roman" w:hAnsi="Times New Roman" w:eastAsia="仿宋" w:cs="仿宋"/>
          <w:b w:val="0"/>
          <w:bCs w:val="0"/>
          <w:smallCaps w:val="0"/>
          <w:color w:val="auto"/>
          <w:spacing w:val="-9"/>
          <w:sz w:val="32"/>
          <w:szCs w:val="32"/>
        </w:rPr>
        <w:t>侵蚀。</w:t>
      </w:r>
    </w:p>
    <w:p w14:paraId="4A555A07">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8"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7"/>
          <w:sz w:val="32"/>
          <w:szCs w:val="32"/>
        </w:rPr>
        <w:t>生物多样性的影响</w:t>
      </w:r>
      <w:r>
        <w:rPr>
          <w:rFonts w:hint="eastAsia" w:ascii="Times New Roman" w:hAnsi="Times New Roman" w:eastAsia="仿宋" w:cs="仿宋"/>
          <w:b w:val="0"/>
          <w:bCs w:val="0"/>
          <w:smallCaps w:val="0"/>
          <w:color w:val="auto"/>
          <w:spacing w:val="7"/>
          <w:sz w:val="32"/>
          <w:szCs w:val="32"/>
          <w:lang w:eastAsia="zh-CN"/>
        </w:rPr>
        <w:t>：</w:t>
      </w:r>
      <w:r>
        <w:rPr>
          <w:rFonts w:ascii="Times New Roman" w:hAnsi="Times New Roman" w:eastAsia="仿宋" w:cs="仿宋"/>
          <w:b w:val="0"/>
          <w:bCs w:val="0"/>
          <w:smallCaps w:val="0"/>
          <w:color w:val="auto"/>
          <w:spacing w:val="22"/>
          <w:sz w:val="32"/>
          <w:szCs w:val="32"/>
        </w:rPr>
        <w:t>矿山开采过程中由于生态环境的改变可能改变乔灌及</w:t>
      </w:r>
      <w:r>
        <w:rPr>
          <w:rFonts w:ascii="Times New Roman" w:hAnsi="Times New Roman" w:eastAsia="仿宋" w:cs="仿宋"/>
          <w:b w:val="0"/>
          <w:bCs w:val="0"/>
          <w:smallCaps w:val="0"/>
          <w:color w:val="auto"/>
          <w:spacing w:val="8"/>
          <w:sz w:val="32"/>
          <w:szCs w:val="32"/>
        </w:rPr>
        <w:t>草本等的组成及数量，从而可以改变其物种多样性。矿山建设对生物多样性的影响相对群落本身而言是轻微的，不会从总体上改变整个群落的物种多样性水平，而且群落本身具有一定的抗干扰能力，因此这种影响不会引起物种多样性的较</w:t>
      </w:r>
      <w:r>
        <w:rPr>
          <w:rFonts w:ascii="Times New Roman" w:hAnsi="Times New Roman" w:eastAsia="仿宋" w:cs="仿宋"/>
          <w:b w:val="0"/>
          <w:bCs w:val="0"/>
          <w:smallCaps w:val="0"/>
          <w:color w:val="auto"/>
          <w:spacing w:val="-6"/>
          <w:sz w:val="32"/>
          <w:szCs w:val="32"/>
        </w:rPr>
        <w:t>大变化。</w:t>
      </w:r>
    </w:p>
    <w:p w14:paraId="42C3E16E">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（二）地表水环境影响</w:t>
      </w:r>
    </w:p>
    <w:p w14:paraId="794030F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4" w:firstLineChars="200"/>
        <w:jc w:val="both"/>
        <w:textAlignment w:val="baseline"/>
        <w:rPr>
          <w:rFonts w:ascii="Times New Roman" w:hAnsi="Times New Roman" w:eastAsia="仿宋" w:cs="仿宋"/>
          <w:b w:val="0"/>
          <w:bCs w:val="0"/>
          <w:smallCaps w:val="0"/>
          <w:color w:val="auto"/>
          <w:spacing w:val="5"/>
          <w:sz w:val="32"/>
          <w:szCs w:val="32"/>
        </w:rPr>
      </w:pPr>
      <w:r>
        <w:rPr>
          <w:rFonts w:ascii="Times New Roman" w:hAnsi="Times New Roman" w:eastAsia="仿宋" w:cs="仿宋"/>
          <w:b w:val="0"/>
          <w:bCs w:val="0"/>
          <w:smallCaps w:val="0"/>
          <w:color w:val="auto"/>
          <w:spacing w:val="6"/>
          <w:sz w:val="32"/>
          <w:szCs w:val="32"/>
        </w:rPr>
        <w:t>取水对地表水资源的影响</w:t>
      </w:r>
      <w:r>
        <w:rPr>
          <w:rFonts w:hint="eastAsia" w:ascii="Times New Roman" w:hAnsi="Times New Roman" w:eastAsia="仿宋" w:cs="仿宋"/>
          <w:b w:val="0"/>
          <w:bCs w:val="0"/>
          <w:smallCaps w:val="0"/>
          <w:color w:val="auto"/>
          <w:spacing w:val="6"/>
          <w:sz w:val="32"/>
          <w:szCs w:val="32"/>
          <w:lang w:eastAsia="zh-CN"/>
        </w:rPr>
        <w:t>：</w:t>
      </w:r>
      <w:r>
        <w:rPr>
          <w:rFonts w:ascii="Times New Roman" w:hAnsi="Times New Roman" w:eastAsia="仿宋" w:cs="仿宋"/>
          <w:b w:val="0"/>
          <w:bCs w:val="0"/>
          <w:smallCaps w:val="0"/>
          <w:color w:val="auto"/>
          <w:spacing w:val="8"/>
          <w:sz w:val="32"/>
          <w:szCs w:val="32"/>
        </w:rPr>
        <w:t>规划区矿山采用分散供水方式，矿山运营期较少取用地</w:t>
      </w:r>
      <w:r>
        <w:rPr>
          <w:rFonts w:ascii="Times New Roman" w:hAnsi="Times New Roman" w:eastAsia="仿宋" w:cs="仿宋"/>
          <w:b w:val="0"/>
          <w:bCs w:val="0"/>
          <w:smallCaps w:val="0"/>
          <w:color w:val="auto"/>
          <w:spacing w:val="5"/>
          <w:sz w:val="32"/>
          <w:szCs w:val="32"/>
        </w:rPr>
        <w:t>表水，对地表水资源影响很小。</w:t>
      </w:r>
    </w:p>
    <w:p w14:paraId="761DF6D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8" w:firstLineChars="200"/>
        <w:jc w:val="both"/>
        <w:textAlignment w:val="baseline"/>
        <w:rPr>
          <w:rFonts w:ascii="Times New Roman" w:hAnsi="Times New Roman" w:eastAsia="仿宋" w:cs="仿宋"/>
          <w:b w:val="0"/>
          <w:bCs w:val="0"/>
          <w:smallCaps w:val="0"/>
          <w:color w:val="auto"/>
          <w:spacing w:val="8"/>
          <w:sz w:val="32"/>
          <w:szCs w:val="32"/>
        </w:rPr>
      </w:pPr>
      <w:r>
        <w:rPr>
          <w:rFonts w:ascii="Times New Roman" w:hAnsi="Times New Roman" w:eastAsia="仿宋" w:cs="仿宋"/>
          <w:b w:val="0"/>
          <w:bCs w:val="0"/>
          <w:smallCaps w:val="0"/>
          <w:color w:val="auto"/>
          <w:spacing w:val="7"/>
          <w:sz w:val="32"/>
          <w:szCs w:val="32"/>
        </w:rPr>
        <w:t>矿山生产对地表水环境影响</w:t>
      </w:r>
      <w:r>
        <w:rPr>
          <w:rFonts w:hint="eastAsia" w:ascii="Times New Roman" w:hAnsi="Times New Roman" w:eastAsia="仿宋" w:cs="仿宋"/>
          <w:b w:val="0"/>
          <w:bCs w:val="0"/>
          <w:smallCaps w:val="0"/>
          <w:color w:val="auto"/>
          <w:spacing w:val="7"/>
          <w:sz w:val="32"/>
          <w:szCs w:val="32"/>
          <w:lang w:eastAsia="zh-CN"/>
        </w:rPr>
        <w:t>：</w:t>
      </w:r>
      <w:r>
        <w:rPr>
          <w:rFonts w:ascii="Times New Roman" w:hAnsi="Times New Roman" w:eastAsia="仿宋" w:cs="仿宋"/>
          <w:b w:val="0"/>
          <w:bCs w:val="0"/>
          <w:smallCaps w:val="0"/>
          <w:color w:val="auto"/>
          <w:spacing w:val="8"/>
          <w:sz w:val="32"/>
          <w:szCs w:val="32"/>
        </w:rPr>
        <w:t>矿山生产对地表水环境影响主要有两个方面：一是矿产资源开采产生的矿坑废水是从开采面不断涌出的地下水和部分地表补给水。矿坑废水通过地表自然淋渗对矿区地表水和地下水造成污染，主要污染物为悬浮物、有机污染物等。二是矿区的生活污水，主要来自居住区、工业场地等，其水质基本与城市生活污水相似，主要污染物为化学耗氧量（COD）、生化需氧量（BOD）、悬浮物（SS）、氨氮等，《规划》实施过程中应严格落实项目环评和各级相关管理部门地表水防控要求，制定针对性的环保治理措施。</w:t>
      </w:r>
    </w:p>
    <w:p w14:paraId="4F5A76A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4"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6"/>
          <w:sz w:val="32"/>
          <w:szCs w:val="32"/>
        </w:rPr>
        <w:t>对含水层的影响</w:t>
      </w:r>
      <w:r>
        <w:rPr>
          <w:rFonts w:hint="eastAsia" w:ascii="Times New Roman" w:hAnsi="Times New Roman" w:eastAsia="仿宋" w:cs="仿宋"/>
          <w:b w:val="0"/>
          <w:bCs w:val="0"/>
          <w:smallCaps w:val="0"/>
          <w:color w:val="auto"/>
          <w:spacing w:val="6"/>
          <w:sz w:val="32"/>
          <w:szCs w:val="32"/>
          <w:lang w:eastAsia="zh-CN"/>
        </w:rPr>
        <w:t>：</w:t>
      </w:r>
      <w:r>
        <w:rPr>
          <w:rFonts w:ascii="Times New Roman" w:hAnsi="Times New Roman" w:eastAsia="仿宋" w:cs="仿宋"/>
          <w:b w:val="0"/>
          <w:bCs w:val="0"/>
          <w:smallCaps w:val="0"/>
          <w:color w:val="auto"/>
          <w:spacing w:val="8"/>
          <w:sz w:val="32"/>
          <w:szCs w:val="32"/>
        </w:rPr>
        <w:t>砂石矿均为露天开采，不会产生像井工开采导致含水层被破坏，造成矿区及其周围地区地下水位下降、水量减少或疏干，造成浅层水资源枯竭、水质恶化，故对含水层不会产生较大影响。《规划》实施过程中应严格落实项目环评和各级相关管理部门对地下水管控要求，对各污染源均制定针对</w:t>
      </w:r>
      <w:r>
        <w:rPr>
          <w:rFonts w:ascii="Times New Roman" w:hAnsi="Times New Roman" w:eastAsia="仿宋" w:cs="仿宋"/>
          <w:b w:val="0"/>
          <w:bCs w:val="0"/>
          <w:smallCaps w:val="0"/>
          <w:color w:val="auto"/>
          <w:spacing w:val="6"/>
          <w:sz w:val="32"/>
          <w:szCs w:val="32"/>
        </w:rPr>
        <w:t>性的环保治理措施。</w:t>
      </w:r>
    </w:p>
    <w:p w14:paraId="2CE9795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8"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7"/>
          <w:sz w:val="32"/>
          <w:szCs w:val="32"/>
        </w:rPr>
        <w:t>对饮用水源地的影响</w:t>
      </w:r>
      <w:r>
        <w:rPr>
          <w:rFonts w:hint="eastAsia" w:ascii="Times New Roman" w:hAnsi="Times New Roman" w:eastAsia="仿宋" w:cs="仿宋"/>
          <w:b w:val="0"/>
          <w:bCs w:val="0"/>
          <w:smallCaps w:val="0"/>
          <w:color w:val="auto"/>
          <w:spacing w:val="7"/>
          <w:sz w:val="32"/>
          <w:szCs w:val="32"/>
          <w:lang w:eastAsia="zh-CN"/>
        </w:rPr>
        <w:t>：</w:t>
      </w:r>
      <w:r>
        <w:rPr>
          <w:rFonts w:ascii="Times New Roman" w:hAnsi="Times New Roman" w:eastAsia="仿宋" w:cs="仿宋"/>
          <w:b w:val="0"/>
          <w:bCs w:val="0"/>
          <w:smallCaps w:val="0"/>
          <w:color w:val="auto"/>
          <w:spacing w:val="8"/>
          <w:sz w:val="32"/>
          <w:szCs w:val="32"/>
        </w:rPr>
        <w:t>根据水源地的管理要求，水源地一级、二级保护区内严禁采矿、采砂；准保护区内严格控制采矿、采砂活动，《规划》中开采规划区块不涉及饮用水源地一、二级保护区和准</w:t>
      </w:r>
      <w:r>
        <w:rPr>
          <w:rFonts w:ascii="Times New Roman" w:hAnsi="Times New Roman" w:eastAsia="仿宋" w:cs="仿宋"/>
          <w:b w:val="0"/>
          <w:bCs w:val="0"/>
          <w:smallCaps w:val="0"/>
          <w:color w:val="auto"/>
          <w:spacing w:val="6"/>
          <w:sz w:val="32"/>
          <w:szCs w:val="32"/>
        </w:rPr>
        <w:t>保护区，矿产开发活动对其无影响。</w:t>
      </w:r>
    </w:p>
    <w:p w14:paraId="4F7C9FA4">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（三）大气环境影响</w:t>
      </w:r>
    </w:p>
    <w:p w14:paraId="394DAE0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8"/>
          <w:sz w:val="32"/>
          <w:szCs w:val="32"/>
        </w:rPr>
        <w:t>大气污染源主要为露天开采过程中爆破、铲装、运输等作业中产生的粉尘以及矿石堆场、废石场扬尘、燃煤锅炉烟气、运输扬尘等，《规划》实施过程中应严格落实项目环评和各级相关管理部门防控要求，对各污染源均提出了针对性</w:t>
      </w:r>
      <w:r>
        <w:rPr>
          <w:rFonts w:ascii="Times New Roman" w:hAnsi="Times New Roman" w:eastAsia="仿宋" w:cs="仿宋"/>
          <w:b w:val="0"/>
          <w:bCs w:val="0"/>
          <w:smallCaps w:val="0"/>
          <w:color w:val="auto"/>
          <w:spacing w:val="7"/>
          <w:sz w:val="32"/>
          <w:szCs w:val="32"/>
        </w:rPr>
        <w:t>的环保治理措施，对区域大气环境影响较小。</w:t>
      </w:r>
    </w:p>
    <w:p w14:paraId="22A9D792">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（四）土壤环境影响</w:t>
      </w:r>
    </w:p>
    <w:p w14:paraId="3F4B78C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8"/>
          <w:sz w:val="32"/>
          <w:szCs w:val="32"/>
        </w:rPr>
        <w:t>矿区开发使地表植被遭到破坏，松散的泥土和岩石暴露在地表，大大加剧了土壤的侵蚀风化，造成水土流失；开采矿山的尾矿粉尘飞扬进入土壤，经雨水冲刷淋溶，致使有毒有害物质进入土壤，造成土壤污染。《规划》实施过程中，</w:t>
      </w:r>
      <w:r>
        <w:rPr>
          <w:rFonts w:ascii="Times New Roman" w:hAnsi="Times New Roman" w:eastAsia="仿宋" w:cs="仿宋"/>
          <w:b w:val="0"/>
          <w:bCs w:val="0"/>
          <w:smallCaps w:val="0"/>
          <w:color w:val="auto"/>
          <w:spacing w:val="21"/>
          <w:sz w:val="32"/>
          <w:szCs w:val="32"/>
        </w:rPr>
        <w:t>应严格落实项目环评和各级相关管理部门对土壤环境污染</w:t>
      </w:r>
      <w:r>
        <w:rPr>
          <w:rFonts w:ascii="Times New Roman" w:hAnsi="Times New Roman" w:eastAsia="仿宋" w:cs="仿宋"/>
          <w:b w:val="0"/>
          <w:bCs w:val="0"/>
          <w:smallCaps w:val="0"/>
          <w:color w:val="auto"/>
          <w:spacing w:val="7"/>
          <w:sz w:val="32"/>
          <w:szCs w:val="32"/>
        </w:rPr>
        <w:t>防控要求，对相关污染源提出针对性的环保治理措施。</w:t>
      </w:r>
    </w:p>
    <w:p w14:paraId="714B205E">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（五）噪声环境影响</w:t>
      </w:r>
    </w:p>
    <w:p w14:paraId="530BDD8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8"/>
          <w:sz w:val="32"/>
          <w:szCs w:val="32"/>
        </w:rPr>
        <w:t>在未采取噪声污染防治措施前，露天开采噪声影响范围</w:t>
      </w:r>
      <w:r>
        <w:rPr>
          <w:rFonts w:ascii="Times New Roman" w:hAnsi="Times New Roman" w:eastAsia="仿宋" w:cs="仿宋"/>
          <w:b w:val="0"/>
          <w:bCs w:val="0"/>
          <w:smallCaps w:val="0"/>
          <w:color w:val="auto"/>
          <w:spacing w:val="4"/>
          <w:sz w:val="32"/>
          <w:szCs w:val="32"/>
        </w:rPr>
        <w:t>一般均在200m，规划区内各工矿企业均位于农村地区，评价</w:t>
      </w:r>
      <w:r>
        <w:rPr>
          <w:rFonts w:ascii="Times New Roman" w:hAnsi="Times New Roman" w:eastAsia="仿宋" w:cs="仿宋"/>
          <w:b w:val="0"/>
          <w:bCs w:val="0"/>
          <w:smallCaps w:val="0"/>
          <w:color w:val="auto"/>
          <w:spacing w:val="8"/>
          <w:sz w:val="32"/>
          <w:szCs w:val="32"/>
        </w:rPr>
        <w:t>要求各建设单位严格落实各项目噪声防治措施，一般情况下</w:t>
      </w:r>
      <w:r>
        <w:rPr>
          <w:rFonts w:ascii="Times New Roman" w:hAnsi="Times New Roman" w:eastAsia="仿宋" w:cs="仿宋"/>
          <w:b w:val="0"/>
          <w:bCs w:val="0"/>
          <w:smallCaps w:val="0"/>
          <w:color w:val="auto"/>
          <w:spacing w:val="6"/>
          <w:sz w:val="32"/>
          <w:szCs w:val="32"/>
        </w:rPr>
        <w:t>能降低噪声10-30</w:t>
      </w:r>
      <w:r>
        <w:rPr>
          <w:rFonts w:ascii="Times New Roman" w:hAnsi="Times New Roman" w:eastAsia="仿宋" w:cs="仿宋"/>
          <w:b w:val="0"/>
          <w:bCs w:val="0"/>
          <w:smallCaps w:val="0"/>
          <w:color w:val="auto"/>
          <w:sz w:val="32"/>
          <w:szCs w:val="32"/>
        </w:rPr>
        <w:t>dB</w:t>
      </w:r>
      <w:r>
        <w:rPr>
          <w:rFonts w:ascii="Times New Roman" w:hAnsi="Times New Roman" w:eastAsia="仿宋" w:cs="仿宋"/>
          <w:b w:val="0"/>
          <w:bCs w:val="0"/>
          <w:smallCaps w:val="0"/>
          <w:color w:val="auto"/>
          <w:spacing w:val="6"/>
          <w:sz w:val="32"/>
          <w:szCs w:val="32"/>
        </w:rPr>
        <w:t>（A</w:t>
      </w:r>
      <w:r>
        <w:rPr>
          <w:rFonts w:ascii="Times New Roman" w:hAnsi="Times New Roman" w:eastAsia="仿宋" w:cs="仿宋"/>
          <w:b w:val="0"/>
          <w:bCs w:val="0"/>
          <w:smallCaps w:val="0"/>
          <w:color w:val="auto"/>
          <w:spacing w:val="-81"/>
          <w:sz w:val="32"/>
          <w:szCs w:val="32"/>
        </w:rPr>
        <w:t>），</w:t>
      </w:r>
      <w:r>
        <w:rPr>
          <w:rFonts w:ascii="Times New Roman" w:hAnsi="Times New Roman" w:eastAsia="仿宋" w:cs="仿宋"/>
          <w:b w:val="0"/>
          <w:bCs w:val="0"/>
          <w:smallCaps w:val="0"/>
          <w:color w:val="auto"/>
          <w:spacing w:val="6"/>
          <w:sz w:val="32"/>
          <w:szCs w:val="32"/>
        </w:rPr>
        <w:t>可减轻噪声对周围环</w:t>
      </w:r>
      <w:r>
        <w:rPr>
          <w:rFonts w:ascii="Times New Roman" w:hAnsi="Times New Roman" w:eastAsia="仿宋" w:cs="仿宋"/>
          <w:b w:val="0"/>
          <w:bCs w:val="0"/>
          <w:smallCaps w:val="0"/>
          <w:color w:val="auto"/>
          <w:spacing w:val="5"/>
          <w:sz w:val="32"/>
          <w:szCs w:val="32"/>
        </w:rPr>
        <w:t>境的影响。</w:t>
      </w:r>
    </w:p>
    <w:p w14:paraId="3A0C821A">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（六）固体废物环境影响</w:t>
      </w:r>
    </w:p>
    <w:p w14:paraId="0DE63669">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728"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22"/>
          <w:sz w:val="32"/>
          <w:szCs w:val="32"/>
        </w:rPr>
        <w:t>矿山建设期工业固体废物主要来自地面施工剥离产生</w:t>
      </w:r>
      <w:r>
        <w:rPr>
          <w:rFonts w:ascii="Times New Roman" w:hAnsi="Times New Roman" w:eastAsia="仿宋" w:cs="仿宋"/>
          <w:b w:val="0"/>
          <w:bCs w:val="0"/>
          <w:smallCaps w:val="0"/>
          <w:color w:val="auto"/>
          <w:spacing w:val="8"/>
          <w:sz w:val="32"/>
          <w:szCs w:val="32"/>
        </w:rPr>
        <w:t>的表土和露天开采剥离产生的废石。矿山运营期矿产资源开发时产生的固体废物主要有剥离表土、废（土）石、锅炉炉</w:t>
      </w:r>
      <w:r>
        <w:rPr>
          <w:rFonts w:ascii="Times New Roman" w:hAnsi="Times New Roman" w:eastAsia="仿宋" w:cs="仿宋"/>
          <w:b w:val="0"/>
          <w:bCs w:val="0"/>
          <w:smallCaps w:val="0"/>
          <w:color w:val="auto"/>
          <w:spacing w:val="6"/>
          <w:sz w:val="32"/>
          <w:szCs w:val="32"/>
        </w:rPr>
        <w:t>渣和生活垃圾等。各堆场在严格执行评价提出的环</w:t>
      </w:r>
      <w:r>
        <w:rPr>
          <w:rFonts w:ascii="Times New Roman" w:hAnsi="Times New Roman" w:eastAsia="仿宋" w:cs="仿宋"/>
          <w:b w:val="0"/>
          <w:bCs w:val="0"/>
          <w:smallCaps w:val="0"/>
          <w:color w:val="auto"/>
          <w:spacing w:val="5"/>
          <w:sz w:val="32"/>
          <w:szCs w:val="32"/>
        </w:rPr>
        <w:t>保措施后，固体废物对周围环境影响较小。</w:t>
      </w:r>
    </w:p>
    <w:p w14:paraId="5CB50B5F">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（七）环境风险</w:t>
      </w:r>
    </w:p>
    <w:p w14:paraId="5CEEF76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728" w:firstLineChars="200"/>
        <w:jc w:val="both"/>
        <w:textAlignment w:val="baseline"/>
        <w:rPr>
          <w:rFonts w:ascii="Times New Roman" w:hAnsi="Times New Roman" w:eastAsia="仿宋" w:cs="仿宋"/>
          <w:b w:val="0"/>
          <w:bCs w:val="0"/>
          <w:smallCaps w:val="0"/>
          <w:color w:val="auto"/>
          <w:spacing w:val="22"/>
          <w:sz w:val="32"/>
          <w:szCs w:val="32"/>
        </w:rPr>
      </w:pPr>
      <w:r>
        <w:rPr>
          <w:rFonts w:ascii="Times New Roman" w:hAnsi="Times New Roman" w:eastAsia="仿宋" w:cs="仿宋"/>
          <w:b w:val="0"/>
          <w:bCs w:val="0"/>
          <w:smallCaps w:val="0"/>
          <w:color w:val="auto"/>
          <w:spacing w:val="22"/>
          <w:sz w:val="32"/>
          <w:szCs w:val="32"/>
        </w:rPr>
        <w:t>规划区爆破材料库、人群健康、矿山地质灾害等方面存在一定的环境风险。在规划、设计、施工、运营的各个阶段要制定出细致完备的环境风险防范措施，并纳入三同时管理。应启动针对规划区的事故应急救援，并制定与银川市、各县区域联动的事故应急预案。在进行定期全面、详细安全评价的基础上及时改进，解决问题，确保运行安全，减少对环境的负面影响。</w:t>
      </w:r>
    </w:p>
    <w:p w14:paraId="4DC05547">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46" w:name="bookmark30"/>
      <w:bookmarkEnd w:id="46"/>
      <w:bookmarkStart w:id="47" w:name="_Toc1178"/>
      <w:r>
        <w:rPr>
          <w:rFonts w:hint="eastAsia" w:ascii="黑体" w:hAnsi="黑体" w:eastAsia="黑体" w:cs="黑体"/>
          <w:b w:val="0"/>
          <w:bCs w:val="0"/>
          <w:smallCaps w:val="0"/>
          <w:color w:val="auto"/>
          <w:sz w:val="32"/>
          <w:szCs w:val="32"/>
          <w:lang w:val="en-US" w:eastAsia="zh-CN"/>
        </w:rPr>
        <w:t>三、预防和减轻不良环境影响的对策措施</w:t>
      </w:r>
      <w:bookmarkEnd w:id="47"/>
    </w:p>
    <w:p w14:paraId="7F06D5B2">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（一）认真贯彻执行政策法规</w:t>
      </w:r>
    </w:p>
    <w:p w14:paraId="2A37DFE4">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5"/>
          <w:sz w:val="32"/>
          <w:szCs w:val="32"/>
        </w:rPr>
        <w:t>认真贯彻执行《中华人民共和国矿产资源法》、《中华人</w:t>
      </w:r>
      <w:r>
        <w:rPr>
          <w:rFonts w:ascii="Times New Roman" w:hAnsi="Times New Roman" w:eastAsia="仿宋" w:cs="仿宋"/>
          <w:b w:val="0"/>
          <w:bCs w:val="0"/>
          <w:smallCaps w:val="0"/>
          <w:color w:val="auto"/>
          <w:spacing w:val="-4"/>
          <w:sz w:val="32"/>
          <w:szCs w:val="32"/>
        </w:rPr>
        <w:t>民共和国环境保护法》、《宁夏回族自治区环境保护条例》等</w:t>
      </w:r>
      <w:r>
        <w:rPr>
          <w:rFonts w:ascii="Times New Roman" w:hAnsi="Times New Roman" w:eastAsia="仿宋" w:cs="仿宋"/>
          <w:b w:val="0"/>
          <w:bCs w:val="0"/>
          <w:smallCaps w:val="0"/>
          <w:color w:val="auto"/>
          <w:spacing w:val="8"/>
          <w:sz w:val="32"/>
          <w:szCs w:val="32"/>
        </w:rPr>
        <w:t>政策法规。加强环境影响评价、矿山环境监督管理，建立长</w:t>
      </w:r>
      <w:r>
        <w:rPr>
          <w:rFonts w:ascii="Times New Roman" w:hAnsi="Times New Roman" w:eastAsia="仿宋" w:cs="仿宋"/>
          <w:b w:val="0"/>
          <w:bCs w:val="0"/>
          <w:smallCaps w:val="0"/>
          <w:color w:val="auto"/>
          <w:spacing w:val="-5"/>
          <w:sz w:val="32"/>
          <w:szCs w:val="32"/>
        </w:rPr>
        <w:t>效机制。</w:t>
      </w:r>
    </w:p>
    <w:p w14:paraId="6DC43632">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（二）严格开采规划准入管理</w:t>
      </w:r>
    </w:p>
    <w:p w14:paraId="10C7D618">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8"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7"/>
          <w:sz w:val="32"/>
          <w:szCs w:val="32"/>
        </w:rPr>
        <w:t>除应符合法律、法规和规划分区管理要求外，还应满足</w:t>
      </w:r>
      <w:r>
        <w:rPr>
          <w:rFonts w:ascii="Times New Roman" w:hAnsi="Times New Roman" w:eastAsia="仿宋" w:cs="仿宋"/>
          <w:b w:val="0"/>
          <w:bCs w:val="0"/>
          <w:smallCaps w:val="0"/>
          <w:color w:val="auto"/>
          <w:spacing w:val="8"/>
          <w:sz w:val="32"/>
          <w:szCs w:val="32"/>
        </w:rPr>
        <w:t>相应的开采规模、技术经济和生态环境准入条件。新建矿山严把选址关，主动避让生态环境敏感区及脆弱区；在建、已建矿山应尽量减少施工范围，建立绿化屏障；露天开采砂石</w:t>
      </w:r>
      <w:r>
        <w:rPr>
          <w:rFonts w:ascii="Times New Roman" w:hAnsi="Times New Roman" w:eastAsia="仿宋" w:cs="仿宋"/>
          <w:b w:val="0"/>
          <w:bCs w:val="0"/>
          <w:smallCaps w:val="0"/>
          <w:color w:val="auto"/>
          <w:spacing w:val="11"/>
          <w:sz w:val="32"/>
          <w:szCs w:val="32"/>
        </w:rPr>
        <w:t>粘土矿产等鼓励进行绿化走廊围采、棚式封闭开采或硐采，</w:t>
      </w:r>
      <w:r>
        <w:rPr>
          <w:rFonts w:ascii="Times New Roman" w:hAnsi="Times New Roman" w:eastAsia="仿宋" w:cs="仿宋"/>
          <w:b w:val="0"/>
          <w:bCs w:val="0"/>
          <w:smallCaps w:val="0"/>
          <w:color w:val="auto"/>
          <w:spacing w:val="6"/>
          <w:sz w:val="32"/>
          <w:szCs w:val="32"/>
        </w:rPr>
        <w:t>鼓励采用中深孔、静态爆破或锯式开采，最大限度减少对生</w:t>
      </w:r>
      <w:r>
        <w:rPr>
          <w:rFonts w:ascii="Times New Roman" w:hAnsi="Times New Roman" w:eastAsia="仿宋" w:cs="仿宋"/>
          <w:b w:val="0"/>
          <w:bCs w:val="0"/>
          <w:smallCaps w:val="0"/>
          <w:color w:val="auto"/>
          <w:sz w:val="32"/>
          <w:szCs w:val="32"/>
        </w:rPr>
        <w:t>态环境的影响。</w:t>
      </w:r>
    </w:p>
    <w:p w14:paraId="6E475909">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8"/>
          <w:sz w:val="32"/>
          <w:szCs w:val="32"/>
        </w:rPr>
        <w:t>饮用水源地一级、二级保护区内严禁采矿、采砂；准保护区内严格控制采矿、采砂活动，准保护区内已经建设的矿</w:t>
      </w:r>
      <w:r>
        <w:rPr>
          <w:rFonts w:ascii="Times New Roman" w:hAnsi="Times New Roman" w:eastAsia="仿宋" w:cs="仿宋"/>
          <w:b w:val="0"/>
          <w:bCs w:val="0"/>
          <w:smallCaps w:val="0"/>
          <w:color w:val="auto"/>
          <w:spacing w:val="7"/>
          <w:sz w:val="32"/>
          <w:szCs w:val="32"/>
        </w:rPr>
        <w:t>山要根据限制条件限期达到资源保护与环境保护的要求，严</w:t>
      </w:r>
      <w:r>
        <w:rPr>
          <w:rFonts w:ascii="Times New Roman" w:hAnsi="Times New Roman" w:eastAsia="仿宋" w:cs="仿宋"/>
          <w:b w:val="0"/>
          <w:bCs w:val="0"/>
          <w:smallCaps w:val="0"/>
          <w:color w:val="auto"/>
          <w:spacing w:val="8"/>
          <w:sz w:val="32"/>
          <w:szCs w:val="32"/>
        </w:rPr>
        <w:t>格控制采矿权的设置，严格执行保护性开采的特定矿种开发</w:t>
      </w:r>
      <w:r>
        <w:rPr>
          <w:rFonts w:ascii="Times New Roman" w:hAnsi="Times New Roman" w:eastAsia="仿宋" w:cs="仿宋"/>
          <w:b w:val="0"/>
          <w:bCs w:val="0"/>
          <w:smallCaps w:val="0"/>
          <w:color w:val="auto"/>
          <w:sz w:val="32"/>
          <w:szCs w:val="32"/>
        </w:rPr>
        <w:t>利用的技术、产量和环保等准入条件要求。准保护区内延续、</w:t>
      </w:r>
      <w:r>
        <w:rPr>
          <w:rFonts w:ascii="Times New Roman" w:hAnsi="Times New Roman" w:eastAsia="仿宋" w:cs="仿宋"/>
          <w:b w:val="0"/>
          <w:bCs w:val="0"/>
          <w:smallCaps w:val="0"/>
          <w:color w:val="auto"/>
          <w:spacing w:val="12"/>
          <w:sz w:val="32"/>
          <w:szCs w:val="32"/>
        </w:rPr>
        <w:t>变更、新设采矿权应严格规划审查，进行专门的规划论证。</w:t>
      </w:r>
      <w:r>
        <w:rPr>
          <w:rFonts w:ascii="Times New Roman" w:hAnsi="Times New Roman" w:eastAsia="仿宋" w:cs="仿宋"/>
          <w:b w:val="0"/>
          <w:bCs w:val="0"/>
          <w:smallCaps w:val="0"/>
          <w:color w:val="auto"/>
          <w:spacing w:val="6"/>
          <w:sz w:val="32"/>
          <w:szCs w:val="32"/>
        </w:rPr>
        <w:t>饮用水源地一、二级保护区内严禁新设采矿权。</w:t>
      </w:r>
    </w:p>
    <w:p w14:paraId="5DC44144">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（三）坚持减量化、再利用、资源化</w:t>
      </w:r>
    </w:p>
    <w:p w14:paraId="2A60FB18">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8"/>
          <w:sz w:val="32"/>
          <w:szCs w:val="32"/>
        </w:rPr>
        <w:t>在生产过程中实施源头减量化优先，循环利用，提高资源的利用效率。加强水、固废的循环再利用，如露天开采的矿坑废水回用于露天采区洒水、道路洒水降尘等，井下开采</w:t>
      </w:r>
      <w:r>
        <w:rPr>
          <w:rFonts w:ascii="Times New Roman" w:hAnsi="Times New Roman" w:eastAsia="仿宋" w:cs="仿宋"/>
          <w:b w:val="0"/>
          <w:bCs w:val="0"/>
          <w:smallCaps w:val="0"/>
          <w:color w:val="auto"/>
          <w:spacing w:val="7"/>
          <w:sz w:val="32"/>
          <w:szCs w:val="32"/>
        </w:rPr>
        <w:t>的采矿废水沉淀后用于湿法凿岩、井下降尘和</w:t>
      </w:r>
      <w:r>
        <w:rPr>
          <w:rFonts w:ascii="Times New Roman" w:hAnsi="Times New Roman" w:eastAsia="仿宋" w:cs="仿宋"/>
          <w:b w:val="0"/>
          <w:bCs w:val="0"/>
          <w:smallCaps w:val="0"/>
          <w:color w:val="auto"/>
          <w:spacing w:val="6"/>
          <w:sz w:val="32"/>
          <w:szCs w:val="32"/>
        </w:rPr>
        <w:t>选矿生产用水。</w:t>
      </w:r>
    </w:p>
    <w:p w14:paraId="4993C799">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（四）因地制宜制定环境保护措施</w:t>
      </w:r>
    </w:p>
    <w:p w14:paraId="060A1043">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56"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4"/>
          <w:sz w:val="32"/>
          <w:szCs w:val="32"/>
        </w:rPr>
        <w:t>分矿种、开采方式不同，因地制宜进行矿山治理，做到</w:t>
      </w:r>
      <w:r>
        <w:rPr>
          <w:rFonts w:ascii="Times New Roman" w:hAnsi="Times New Roman" w:eastAsia="仿宋" w:cs="仿宋"/>
          <w:b w:val="0"/>
          <w:bCs w:val="0"/>
          <w:smallCaps w:val="0"/>
          <w:color w:val="auto"/>
          <w:spacing w:val="8"/>
          <w:sz w:val="32"/>
          <w:szCs w:val="32"/>
        </w:rPr>
        <w:t>提前规划、分步实施、精细化管理。注重开发过程中的矿区周边、尾矿库等植被恢复，边开采、边治理恢复，防止诱发地质灾害和环境破坏；加强地质环境监管工作，减轻矿业活</w:t>
      </w:r>
      <w:r>
        <w:rPr>
          <w:rFonts w:ascii="Times New Roman" w:hAnsi="Times New Roman" w:eastAsia="仿宋" w:cs="仿宋"/>
          <w:b w:val="0"/>
          <w:bCs w:val="0"/>
          <w:smallCaps w:val="0"/>
          <w:color w:val="auto"/>
          <w:spacing w:val="5"/>
          <w:sz w:val="32"/>
          <w:szCs w:val="32"/>
        </w:rPr>
        <w:t>动对矿山生态环境造成的污染和破坏。</w:t>
      </w:r>
    </w:p>
    <w:p w14:paraId="355D01E7">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（五）加大科技投入，推行绿色开采，发展循环经济</w:t>
      </w:r>
    </w:p>
    <w:p w14:paraId="2356C40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pacing w:val="6"/>
          <w:sz w:val="32"/>
          <w:szCs w:val="32"/>
        </w:rPr>
      </w:pPr>
      <w:r>
        <w:rPr>
          <w:rFonts w:ascii="Times New Roman" w:hAnsi="Times New Roman" w:eastAsia="仿宋" w:cs="仿宋"/>
          <w:b w:val="0"/>
          <w:bCs w:val="0"/>
          <w:smallCaps w:val="0"/>
          <w:color w:val="auto"/>
          <w:spacing w:val="8"/>
          <w:sz w:val="32"/>
          <w:szCs w:val="32"/>
        </w:rPr>
        <w:t>一是改进采选工艺流程，开发研制绿色的选冶工艺和设备；二是加大科技投入，研究制定能耗、物耗、污染物削减或循环利用方案，实现减排增效；三是构建数字矿山管理新模式。通过建立矿山开采各类数据库，研究建立绿色开发新</w:t>
      </w:r>
      <w:r>
        <w:rPr>
          <w:rFonts w:ascii="Times New Roman" w:hAnsi="Times New Roman" w:eastAsia="仿宋" w:cs="仿宋"/>
          <w:b w:val="0"/>
          <w:bCs w:val="0"/>
          <w:smallCaps w:val="0"/>
          <w:color w:val="auto"/>
          <w:spacing w:val="6"/>
          <w:sz w:val="32"/>
          <w:szCs w:val="32"/>
        </w:rPr>
        <w:t>模式，启发创新意识，提高环保力度。</w:t>
      </w:r>
      <w:bookmarkStart w:id="48" w:name="bookmark31"/>
      <w:bookmarkEnd w:id="48"/>
    </w:p>
    <w:p w14:paraId="44B1EDD9">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color w:val="auto"/>
          <w:sz w:val="32"/>
          <w:szCs w:val="32"/>
          <w:lang w:val="en-US" w:eastAsia="zh-CN"/>
        </w:rPr>
      </w:pPr>
      <w:bookmarkStart w:id="49" w:name="_Toc29736"/>
      <w:r>
        <w:rPr>
          <w:rFonts w:hint="eastAsia" w:ascii="黑体" w:hAnsi="黑体" w:eastAsia="黑体" w:cs="黑体"/>
          <w:b w:val="0"/>
          <w:bCs w:val="0"/>
          <w:smallCaps w:val="0"/>
          <w:color w:val="auto"/>
          <w:sz w:val="32"/>
          <w:szCs w:val="32"/>
          <w:lang w:val="en-US" w:eastAsia="zh-CN"/>
        </w:rPr>
        <w:t>四、矿山地质环境治理恢复重点项目的合理性评价</w:t>
      </w:r>
      <w:bookmarkEnd w:id="49"/>
    </w:p>
    <w:p w14:paraId="17777959">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728" w:firstLineChars="200"/>
        <w:jc w:val="both"/>
        <w:textAlignment w:val="baseline"/>
        <w:rPr>
          <w:rFonts w:hint="eastAsia" w:ascii="Times New Roman" w:hAnsi="Times New Roman" w:eastAsia="仿宋" w:cs="仿宋"/>
          <w:b w:val="0"/>
          <w:bCs w:val="0"/>
          <w:smallCaps w:val="0"/>
          <w:color w:val="auto"/>
          <w:sz w:val="32"/>
          <w:szCs w:val="32"/>
          <w:lang w:eastAsia="zh-CN"/>
        </w:rPr>
      </w:pPr>
      <w:r>
        <w:rPr>
          <w:rFonts w:hint="eastAsia" w:ascii="Times New Roman" w:hAnsi="Times New Roman" w:eastAsia="仿宋" w:cs="仿宋"/>
          <w:b w:val="0"/>
          <w:bCs w:val="0"/>
          <w:smallCaps w:val="0"/>
          <w:color w:val="auto"/>
          <w:spacing w:val="22"/>
          <w:sz w:val="32"/>
          <w:szCs w:val="32"/>
          <w:lang w:val="en-US" w:eastAsia="zh-CN"/>
        </w:rPr>
        <w:t>矿区生态修复</w:t>
      </w:r>
      <w:r>
        <w:rPr>
          <w:rFonts w:ascii="Times New Roman" w:hAnsi="Times New Roman" w:eastAsia="仿宋" w:cs="仿宋"/>
          <w:b w:val="0"/>
          <w:bCs w:val="0"/>
          <w:smallCaps w:val="0"/>
          <w:color w:val="auto"/>
          <w:spacing w:val="22"/>
          <w:sz w:val="32"/>
          <w:szCs w:val="32"/>
        </w:rPr>
        <w:t>重点项目主要针对历史遗留的</w:t>
      </w:r>
      <w:r>
        <w:rPr>
          <w:rFonts w:ascii="Times New Roman" w:hAnsi="Times New Roman" w:eastAsia="仿宋" w:cs="仿宋"/>
          <w:b w:val="0"/>
          <w:bCs w:val="0"/>
          <w:smallCaps w:val="0"/>
          <w:color w:val="auto"/>
          <w:spacing w:val="8"/>
          <w:sz w:val="32"/>
          <w:szCs w:val="32"/>
        </w:rPr>
        <w:t>废弃矿山、闭坑矿山开展治理恢复。</w:t>
      </w:r>
    </w:p>
    <w:p w14:paraId="50DD2C21">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（一）重点治理项目确定遵循的原则</w:t>
      </w:r>
    </w:p>
    <w:p w14:paraId="30FFB67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8"/>
          <w:sz w:val="32"/>
          <w:szCs w:val="32"/>
        </w:rPr>
        <w:t>按照集中连片、重点突出、全面治理的基本原则，将矿山环境问题类似、区域接近的大型矿山或若干个小型矿山群采区部署为一个项目。确定重点治理项目遵循的原则：一是</w:t>
      </w:r>
      <w:r>
        <w:rPr>
          <w:rFonts w:ascii="Times New Roman" w:hAnsi="Times New Roman" w:eastAsia="仿宋" w:cs="仿宋"/>
          <w:b w:val="0"/>
          <w:bCs w:val="0"/>
          <w:smallCaps w:val="0"/>
          <w:color w:val="auto"/>
          <w:spacing w:val="21"/>
          <w:sz w:val="32"/>
          <w:szCs w:val="32"/>
        </w:rPr>
        <w:t>矿山生态环境影响严重区和矿山生态环境影响较严重区的</w:t>
      </w:r>
      <w:r>
        <w:rPr>
          <w:rFonts w:ascii="Times New Roman" w:hAnsi="Times New Roman" w:eastAsia="仿宋" w:cs="仿宋"/>
          <w:b w:val="0"/>
          <w:bCs w:val="0"/>
          <w:smallCaps w:val="0"/>
          <w:color w:val="auto"/>
          <w:spacing w:val="12"/>
          <w:sz w:val="32"/>
          <w:szCs w:val="32"/>
        </w:rPr>
        <w:t>矿山；二是矿山生态环境重点治理区的国有大</w:t>
      </w:r>
      <w:r>
        <w:rPr>
          <w:rFonts w:ascii="Times New Roman" w:hAnsi="Times New Roman" w:eastAsia="仿宋" w:cs="仿宋"/>
          <w:b w:val="0"/>
          <w:bCs w:val="0"/>
          <w:smallCaps w:val="0"/>
          <w:color w:val="auto"/>
          <w:spacing w:val="11"/>
          <w:sz w:val="32"/>
          <w:szCs w:val="32"/>
        </w:rPr>
        <w:t>中型老矿山，</w:t>
      </w:r>
      <w:r>
        <w:rPr>
          <w:rFonts w:ascii="Times New Roman" w:hAnsi="Times New Roman" w:eastAsia="仿宋" w:cs="仿宋"/>
          <w:b w:val="0"/>
          <w:bCs w:val="0"/>
          <w:smallCaps w:val="0"/>
          <w:color w:val="auto"/>
          <w:spacing w:val="8"/>
          <w:sz w:val="32"/>
          <w:szCs w:val="32"/>
        </w:rPr>
        <w:t>闭坑矿山和无法找到责任人的矿山；三是矿产资源开发对生态环境、工农业生产和经济发展造成较大影响的区域，对当</w:t>
      </w:r>
      <w:r>
        <w:rPr>
          <w:rFonts w:ascii="Times New Roman" w:hAnsi="Times New Roman" w:eastAsia="仿宋" w:cs="仿宋"/>
          <w:b w:val="0"/>
          <w:bCs w:val="0"/>
          <w:smallCaps w:val="0"/>
          <w:color w:val="auto"/>
          <w:spacing w:val="5"/>
          <w:sz w:val="32"/>
          <w:szCs w:val="32"/>
        </w:rPr>
        <w:t>地人民生命财产构成严重威胁的矿山；四是矿山环境恢复治</w:t>
      </w:r>
      <w:r>
        <w:rPr>
          <w:rFonts w:ascii="Times New Roman" w:hAnsi="Times New Roman" w:eastAsia="仿宋" w:cs="仿宋"/>
          <w:b w:val="0"/>
          <w:bCs w:val="0"/>
          <w:smallCaps w:val="0"/>
          <w:color w:val="auto"/>
          <w:spacing w:val="6"/>
          <w:sz w:val="32"/>
          <w:szCs w:val="32"/>
        </w:rPr>
        <w:t>理后社会环境、经济效益明显的矿山。</w:t>
      </w:r>
    </w:p>
    <w:p w14:paraId="4DCEB722">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（二）符合上级规划确定的重点治理区</w:t>
      </w:r>
    </w:p>
    <w:p w14:paraId="3B99BD18">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4"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1"/>
          <w:sz w:val="32"/>
          <w:szCs w:val="32"/>
        </w:rPr>
        <w:t>《宁夏回族自治区矿产资源总体规划（202</w:t>
      </w:r>
      <w:r>
        <w:rPr>
          <w:rFonts w:hint="eastAsia" w:ascii="Times New Roman" w:hAnsi="Times New Roman" w:eastAsia="仿宋" w:cs="仿宋"/>
          <w:b w:val="0"/>
          <w:bCs w:val="0"/>
          <w:smallCaps w:val="0"/>
          <w:color w:val="auto"/>
          <w:spacing w:val="1"/>
          <w:sz w:val="32"/>
          <w:szCs w:val="32"/>
          <w:lang w:val="en-US" w:eastAsia="zh-CN"/>
        </w:rPr>
        <w:t>6</w:t>
      </w:r>
      <w:r>
        <w:rPr>
          <w:rFonts w:ascii="Times New Roman" w:hAnsi="Times New Roman" w:eastAsia="仿宋" w:cs="仿宋"/>
          <w:b w:val="0"/>
          <w:bCs w:val="0"/>
          <w:smallCaps w:val="0"/>
          <w:color w:val="auto"/>
          <w:spacing w:val="1"/>
          <w:sz w:val="32"/>
          <w:szCs w:val="32"/>
        </w:rPr>
        <w:t>-20</w:t>
      </w:r>
      <w:r>
        <w:rPr>
          <w:rFonts w:hint="eastAsia" w:ascii="Times New Roman" w:hAnsi="Times New Roman" w:eastAsia="仿宋" w:cs="仿宋"/>
          <w:b w:val="0"/>
          <w:bCs w:val="0"/>
          <w:smallCaps w:val="0"/>
          <w:color w:val="auto"/>
          <w:spacing w:val="1"/>
          <w:sz w:val="32"/>
          <w:szCs w:val="32"/>
          <w:lang w:val="en-US" w:eastAsia="zh-CN"/>
        </w:rPr>
        <w:t>30</w:t>
      </w:r>
      <w:r>
        <w:rPr>
          <w:rFonts w:ascii="Times New Roman" w:hAnsi="Times New Roman" w:eastAsia="仿宋" w:cs="仿宋"/>
          <w:b w:val="0"/>
          <w:bCs w:val="0"/>
          <w:smallCaps w:val="0"/>
          <w:color w:val="auto"/>
          <w:spacing w:val="1"/>
          <w:sz w:val="32"/>
          <w:szCs w:val="32"/>
        </w:rPr>
        <w:t>年）》</w:t>
      </w:r>
      <w:r>
        <w:rPr>
          <w:rFonts w:ascii="Times New Roman" w:hAnsi="Times New Roman" w:eastAsia="仿宋" w:cs="仿宋"/>
          <w:b w:val="0"/>
          <w:bCs w:val="0"/>
          <w:smallCaps w:val="0"/>
          <w:color w:val="auto"/>
          <w:spacing w:val="21"/>
          <w:sz w:val="32"/>
          <w:szCs w:val="32"/>
        </w:rPr>
        <w:t>确定的矿山地质环境重点治理区主要针对历史遗留的废弃</w:t>
      </w:r>
      <w:r>
        <w:rPr>
          <w:rFonts w:ascii="Times New Roman" w:hAnsi="Times New Roman" w:eastAsia="仿宋" w:cs="仿宋"/>
          <w:b w:val="0"/>
          <w:bCs w:val="0"/>
          <w:smallCaps w:val="0"/>
          <w:color w:val="auto"/>
          <w:spacing w:val="8"/>
          <w:sz w:val="32"/>
          <w:szCs w:val="32"/>
        </w:rPr>
        <w:t>矿山、闭坑矿山开展恢复治理。重点治理区主要分布于自然生态保护区周边和主干交通线两侧集中连片的矿山。根据全</w:t>
      </w:r>
      <w:r>
        <w:rPr>
          <w:rFonts w:ascii="Times New Roman" w:hAnsi="Times New Roman" w:eastAsia="仿宋" w:cs="仿宋"/>
          <w:b w:val="0"/>
          <w:bCs w:val="0"/>
          <w:smallCaps w:val="0"/>
          <w:color w:val="auto"/>
          <w:spacing w:val="21"/>
          <w:sz w:val="32"/>
          <w:szCs w:val="32"/>
        </w:rPr>
        <w:t>市矿山分布实际情况及对环境的影响程度所确定的重点治</w:t>
      </w:r>
      <w:r>
        <w:rPr>
          <w:rFonts w:ascii="Times New Roman" w:hAnsi="Times New Roman" w:eastAsia="仿宋" w:cs="仿宋"/>
          <w:b w:val="0"/>
          <w:bCs w:val="0"/>
          <w:smallCaps w:val="0"/>
          <w:color w:val="auto"/>
          <w:spacing w:val="6"/>
          <w:sz w:val="32"/>
          <w:szCs w:val="32"/>
        </w:rPr>
        <w:t>理区与上级规划确定的重点治理区一致。</w:t>
      </w:r>
    </w:p>
    <w:p w14:paraId="4709E582">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（三）治理方法选择的合理性</w:t>
      </w:r>
    </w:p>
    <w:p w14:paraId="0942CDD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8"/>
          <w:sz w:val="32"/>
          <w:szCs w:val="32"/>
        </w:rPr>
        <w:t>针对矿山的治理类型、主要环境问题和产生的原因，治理方法的选择应在消除安全隐患的前提下，充分考虑矿山废</w:t>
      </w:r>
      <w:r>
        <w:rPr>
          <w:rFonts w:ascii="Times New Roman" w:hAnsi="Times New Roman" w:eastAsia="仿宋" w:cs="仿宋"/>
          <w:b w:val="0"/>
          <w:bCs w:val="0"/>
          <w:smallCaps w:val="0"/>
          <w:color w:val="auto"/>
          <w:spacing w:val="6"/>
          <w:sz w:val="32"/>
          <w:szCs w:val="32"/>
        </w:rPr>
        <w:t>弃土地的综合利用价值，宜林则林、宜地则地，使其与周围</w:t>
      </w:r>
      <w:r>
        <w:rPr>
          <w:rFonts w:ascii="Times New Roman" w:hAnsi="Times New Roman" w:eastAsia="仿宋" w:cs="仿宋"/>
          <w:b w:val="0"/>
          <w:bCs w:val="0"/>
          <w:smallCaps w:val="0"/>
          <w:color w:val="auto"/>
          <w:spacing w:val="8"/>
          <w:sz w:val="32"/>
          <w:szCs w:val="32"/>
        </w:rPr>
        <w:t>环境统一，达到以最低的资金投入获得最大的环境保护与社</w:t>
      </w:r>
      <w:r>
        <w:rPr>
          <w:rFonts w:ascii="Times New Roman" w:hAnsi="Times New Roman" w:eastAsia="仿宋" w:cs="仿宋"/>
          <w:b w:val="0"/>
          <w:bCs w:val="0"/>
          <w:smallCaps w:val="0"/>
          <w:color w:val="auto"/>
          <w:spacing w:val="3"/>
          <w:sz w:val="32"/>
          <w:szCs w:val="32"/>
        </w:rPr>
        <w:t>会经济效益的成果。</w:t>
      </w:r>
    </w:p>
    <w:p w14:paraId="3AE3EAD6">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（四）治理目标实现的可达性</w:t>
      </w:r>
    </w:p>
    <w:p w14:paraId="2C8AAE1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0"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5"/>
          <w:sz w:val="32"/>
          <w:szCs w:val="32"/>
        </w:rPr>
        <w:t>自然生态重在保护，要根据矿山产生的环境问题，确保</w:t>
      </w:r>
      <w:r>
        <w:rPr>
          <w:rFonts w:ascii="Times New Roman" w:hAnsi="Times New Roman" w:eastAsia="仿宋" w:cs="仿宋"/>
          <w:b w:val="0"/>
          <w:bCs w:val="0"/>
          <w:smallCaps w:val="0"/>
          <w:color w:val="auto"/>
          <w:spacing w:val="8"/>
          <w:sz w:val="32"/>
          <w:szCs w:val="32"/>
        </w:rPr>
        <w:t>生产矿山不再产生新的对自然生态环境的破坏。做到关闭一处，治理一处，使矿山生产对环境的影响降到最低，确保保</w:t>
      </w:r>
      <w:r>
        <w:rPr>
          <w:rFonts w:ascii="Times New Roman" w:hAnsi="Times New Roman" w:eastAsia="仿宋" w:cs="仿宋"/>
          <w:b w:val="0"/>
          <w:bCs w:val="0"/>
          <w:smallCaps w:val="0"/>
          <w:color w:val="auto"/>
          <w:spacing w:val="3"/>
          <w:sz w:val="32"/>
          <w:szCs w:val="32"/>
        </w:rPr>
        <w:t>护与治理目标的实现。</w:t>
      </w:r>
    </w:p>
    <w:p w14:paraId="0404A1C4">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4"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6"/>
          <w:sz w:val="32"/>
          <w:szCs w:val="32"/>
        </w:rPr>
        <w:t>根据以上分析，规划期银川市设置的2个矿山地质环境</w:t>
      </w:r>
      <w:r>
        <w:rPr>
          <w:rFonts w:ascii="Times New Roman" w:hAnsi="Times New Roman" w:eastAsia="仿宋" w:cs="仿宋"/>
          <w:b w:val="0"/>
          <w:bCs w:val="0"/>
          <w:smallCaps w:val="0"/>
          <w:color w:val="auto"/>
          <w:spacing w:val="8"/>
          <w:sz w:val="32"/>
          <w:szCs w:val="32"/>
        </w:rPr>
        <w:t>治理恢复重点项目符合项目确立的四个原则，与上级规划治理项目部署的区域相符，治理方法选择合理，治理目标可实</w:t>
      </w:r>
      <w:r>
        <w:rPr>
          <w:rFonts w:ascii="Times New Roman" w:hAnsi="Times New Roman" w:eastAsia="仿宋" w:cs="仿宋"/>
          <w:b w:val="0"/>
          <w:bCs w:val="0"/>
          <w:smallCaps w:val="0"/>
          <w:color w:val="auto"/>
          <w:spacing w:val="5"/>
          <w:sz w:val="32"/>
          <w:szCs w:val="32"/>
        </w:rPr>
        <w:t>现，总体来说项目的安排合理。</w:t>
      </w:r>
    </w:p>
    <w:p w14:paraId="7187247D">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方正楷体_GBK" w:hAnsi="方正楷体_GBK" w:eastAsia="方正楷体_GBK" w:cs="方正楷体_GBK"/>
          <w:b w:val="0"/>
          <w:bCs w:val="0"/>
          <w:smallCaps w:val="0"/>
          <w:snapToGrid w:val="0"/>
          <w:color w:val="auto"/>
          <w:spacing w:val="6"/>
          <w:kern w:val="0"/>
          <w:sz w:val="32"/>
          <w:szCs w:val="32"/>
          <w:lang w:val="en-US" w:eastAsia="zh-CN" w:bidi="ar-SA"/>
        </w:rPr>
      </w:pPr>
      <w:bookmarkStart w:id="50" w:name="bookmark32"/>
      <w:bookmarkEnd w:id="50"/>
      <w:bookmarkStart w:id="51" w:name="_Toc29261"/>
      <w:r>
        <w:rPr>
          <w:rFonts w:hint="eastAsia" w:ascii="黑体" w:hAnsi="黑体" w:eastAsia="黑体" w:cs="黑体"/>
          <w:b w:val="0"/>
          <w:bCs w:val="0"/>
          <w:smallCaps w:val="0"/>
          <w:snapToGrid w:val="0"/>
          <w:color w:val="auto"/>
          <w:spacing w:val="6"/>
          <w:kern w:val="0"/>
          <w:sz w:val="32"/>
          <w:szCs w:val="32"/>
          <w:lang w:val="en-US" w:eastAsia="zh-CN" w:bidi="ar-SA"/>
        </w:rPr>
        <w:t>五、开采规划生态环境准入条件的有效性评价</w:t>
      </w:r>
      <w:bookmarkEnd w:id="51"/>
    </w:p>
    <w:p w14:paraId="16C40307">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700" w:firstLineChars="200"/>
        <w:jc w:val="both"/>
        <w:textAlignment w:val="baseline"/>
        <w:rPr>
          <w:rFonts w:ascii="Times New Roman" w:hAnsi="Times New Roman" w:eastAsia="仿宋" w:cs="仿宋"/>
          <w:b w:val="0"/>
          <w:bCs w:val="0"/>
          <w:smallCaps w:val="0"/>
          <w:color w:val="auto"/>
          <w:spacing w:val="8"/>
          <w:sz w:val="32"/>
          <w:szCs w:val="32"/>
        </w:rPr>
      </w:pPr>
      <w:r>
        <w:rPr>
          <w:rFonts w:ascii="Times New Roman" w:hAnsi="Times New Roman" w:eastAsia="仿宋" w:cs="仿宋"/>
          <w:smallCaps w:val="0"/>
          <w:color w:val="auto"/>
          <w:spacing w:val="15"/>
          <w:sz w:val="32"/>
          <w:szCs w:val="32"/>
        </w:rPr>
        <w:t>依据《自然资源部办公厅关于印发&lt;省级矿产</w:t>
      </w:r>
      <w:r>
        <w:rPr>
          <w:rFonts w:ascii="Times New Roman" w:hAnsi="Times New Roman" w:eastAsia="仿宋" w:cs="仿宋"/>
          <w:smallCaps w:val="0"/>
          <w:color w:val="auto"/>
          <w:spacing w:val="14"/>
          <w:sz w:val="32"/>
          <w:szCs w:val="32"/>
        </w:rPr>
        <w:t>资源总体规划编制技术规程&gt;和&lt;市县级矿产资源总体规划编制要点&gt;</w:t>
      </w:r>
      <w:r>
        <w:rPr>
          <w:rFonts w:ascii="Times New Roman" w:hAnsi="Times New Roman" w:eastAsia="仿宋" w:cs="仿宋"/>
          <w:smallCaps w:val="0"/>
          <w:color w:val="auto"/>
          <w:spacing w:val="-3"/>
          <w:sz w:val="32"/>
          <w:szCs w:val="32"/>
        </w:rPr>
        <w:t>的通知》（自然资源办发〔2020〕19号）文件精神</w:t>
      </w:r>
      <w:r>
        <w:rPr>
          <w:rFonts w:ascii="Times New Roman" w:hAnsi="Times New Roman" w:eastAsia="仿宋" w:cs="仿宋"/>
          <w:smallCaps w:val="0"/>
          <w:color w:val="auto"/>
          <w:spacing w:val="-4"/>
          <w:sz w:val="32"/>
          <w:szCs w:val="32"/>
        </w:rPr>
        <w:t>，《规划》</w:t>
      </w:r>
      <w:r>
        <w:rPr>
          <w:rFonts w:ascii="Times New Roman" w:hAnsi="Times New Roman" w:eastAsia="仿宋" w:cs="仿宋"/>
          <w:smallCaps w:val="0"/>
          <w:color w:val="auto"/>
          <w:spacing w:val="8"/>
          <w:sz w:val="32"/>
          <w:szCs w:val="32"/>
        </w:rPr>
        <w:t>从绿色勘查、开采规模、开发利用水平、绿色矿山建设、矿</w:t>
      </w:r>
      <w:r>
        <w:rPr>
          <w:rFonts w:ascii="Times New Roman" w:hAnsi="Times New Roman" w:eastAsia="仿宋" w:cs="仿宋"/>
          <w:smallCaps w:val="0"/>
          <w:color w:val="auto"/>
          <w:spacing w:val="10"/>
          <w:sz w:val="32"/>
          <w:szCs w:val="32"/>
        </w:rPr>
        <w:t>区生态保护修复等方面提出了准入条件，明确了管理</w:t>
      </w:r>
      <w:r>
        <w:rPr>
          <w:rFonts w:ascii="Times New Roman" w:hAnsi="Times New Roman" w:eastAsia="仿宋" w:cs="仿宋"/>
          <w:b w:val="0"/>
          <w:bCs w:val="0"/>
          <w:smallCaps w:val="0"/>
          <w:color w:val="auto"/>
          <w:spacing w:val="10"/>
          <w:sz w:val="32"/>
          <w:szCs w:val="32"/>
        </w:rPr>
        <w:t>要求。</w:t>
      </w:r>
      <w:r>
        <w:rPr>
          <w:rFonts w:ascii="Times New Roman" w:hAnsi="Times New Roman" w:eastAsia="仿宋" w:cs="仿宋"/>
          <w:b w:val="0"/>
          <w:bCs w:val="0"/>
          <w:smallCaps w:val="0"/>
          <w:color w:val="auto"/>
          <w:spacing w:val="8"/>
          <w:sz w:val="32"/>
          <w:szCs w:val="32"/>
        </w:rPr>
        <w:t>针对开采规划准入条件的有效性评价如下：</w:t>
      </w:r>
    </w:p>
    <w:p w14:paraId="35D7039C">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（一）准入条件要合法合规</w:t>
      </w:r>
    </w:p>
    <w:p w14:paraId="595276AE">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60"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5"/>
          <w:sz w:val="32"/>
          <w:szCs w:val="32"/>
        </w:rPr>
        <w:t>《规划》制定的准入条件符合法律法规，符合国家有关</w:t>
      </w:r>
      <w:r>
        <w:rPr>
          <w:rFonts w:ascii="Times New Roman" w:hAnsi="Times New Roman" w:eastAsia="仿宋" w:cs="仿宋"/>
          <w:b w:val="0"/>
          <w:bCs w:val="0"/>
          <w:smallCaps w:val="0"/>
          <w:color w:val="auto"/>
          <w:spacing w:val="12"/>
          <w:sz w:val="32"/>
          <w:szCs w:val="32"/>
        </w:rPr>
        <w:t>标准和规范，符合国家和地方关于矿产资源生态环境保护、</w:t>
      </w:r>
      <w:r>
        <w:rPr>
          <w:rFonts w:ascii="Times New Roman" w:hAnsi="Times New Roman" w:eastAsia="仿宋" w:cs="仿宋"/>
          <w:b w:val="0"/>
          <w:bCs w:val="0"/>
          <w:smallCaps w:val="0"/>
          <w:color w:val="auto"/>
          <w:spacing w:val="5"/>
          <w:sz w:val="32"/>
          <w:szCs w:val="32"/>
        </w:rPr>
        <w:t>安全生产、用地等的有关政策。</w:t>
      </w:r>
    </w:p>
    <w:p w14:paraId="2CF2F08F">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（二）准入条件要满足当地经济发展需要</w:t>
      </w:r>
    </w:p>
    <w:p w14:paraId="38B06C6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8"/>
          <w:sz w:val="32"/>
          <w:szCs w:val="32"/>
        </w:rPr>
        <w:t>紧密围绕银川市经济发展的总体要求和发展目标</w:t>
      </w:r>
      <w:r>
        <w:rPr>
          <w:rFonts w:ascii="Times New Roman" w:hAnsi="Times New Roman" w:eastAsia="仿宋" w:cs="仿宋"/>
          <w:b w:val="0"/>
          <w:bCs w:val="0"/>
          <w:smallCaps w:val="0"/>
          <w:color w:val="auto"/>
          <w:spacing w:val="7"/>
          <w:sz w:val="32"/>
          <w:szCs w:val="32"/>
        </w:rPr>
        <w:t>，根据</w:t>
      </w:r>
      <w:r>
        <w:rPr>
          <w:rFonts w:ascii="Times New Roman" w:hAnsi="Times New Roman" w:eastAsia="仿宋" w:cs="仿宋"/>
          <w:b w:val="0"/>
          <w:bCs w:val="0"/>
          <w:smallCaps w:val="0"/>
          <w:color w:val="auto"/>
          <w:spacing w:val="21"/>
          <w:sz w:val="32"/>
          <w:szCs w:val="32"/>
        </w:rPr>
        <w:t>砂石土矿产资源赋存特点和地方经济现状以及借鉴其他省</w:t>
      </w:r>
      <w:r>
        <w:rPr>
          <w:rFonts w:ascii="Times New Roman" w:hAnsi="Times New Roman" w:eastAsia="仿宋" w:cs="仿宋"/>
          <w:b w:val="0"/>
          <w:bCs w:val="0"/>
          <w:smallCaps w:val="0"/>
          <w:color w:val="auto"/>
          <w:spacing w:val="8"/>
          <w:sz w:val="32"/>
          <w:szCs w:val="32"/>
        </w:rPr>
        <w:t>份有效经验，合理制定准入条件，促进资源优势转化为发展</w:t>
      </w:r>
      <w:r>
        <w:rPr>
          <w:rFonts w:ascii="Times New Roman" w:hAnsi="Times New Roman" w:eastAsia="仿宋" w:cs="仿宋"/>
          <w:b w:val="0"/>
          <w:bCs w:val="0"/>
          <w:smallCaps w:val="0"/>
          <w:color w:val="auto"/>
          <w:spacing w:val="5"/>
          <w:sz w:val="32"/>
          <w:szCs w:val="32"/>
        </w:rPr>
        <w:t>优势，服务地方经济社会发展。</w:t>
      </w:r>
    </w:p>
    <w:p w14:paraId="587E8D7E">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（三）准入条件符合当地的产业结构政策</w:t>
      </w:r>
    </w:p>
    <w:p w14:paraId="3352ABB9">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728"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22"/>
          <w:sz w:val="32"/>
          <w:szCs w:val="32"/>
        </w:rPr>
        <w:t>针对砂石土及非金属矿山制定的开采规划准入条件符</w:t>
      </w:r>
      <w:r>
        <w:rPr>
          <w:rFonts w:ascii="Times New Roman" w:hAnsi="Times New Roman" w:eastAsia="仿宋" w:cs="仿宋"/>
          <w:b w:val="0"/>
          <w:bCs w:val="0"/>
          <w:smallCaps w:val="0"/>
          <w:color w:val="auto"/>
          <w:spacing w:val="8"/>
          <w:sz w:val="32"/>
          <w:szCs w:val="32"/>
        </w:rPr>
        <w:t>合自治区和银川市的产业结构政策，与上级矿产资源规划相</w:t>
      </w:r>
      <w:r>
        <w:rPr>
          <w:rFonts w:ascii="Times New Roman" w:hAnsi="Times New Roman" w:eastAsia="仿宋" w:cs="仿宋"/>
          <w:b w:val="0"/>
          <w:bCs w:val="0"/>
          <w:smallCaps w:val="0"/>
          <w:color w:val="auto"/>
          <w:spacing w:val="-9"/>
          <w:sz w:val="32"/>
          <w:szCs w:val="32"/>
        </w:rPr>
        <w:t>适应。</w:t>
      </w:r>
    </w:p>
    <w:p w14:paraId="59CF38C9">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（四）准入条件符合当地的绿色勘查要求</w:t>
      </w:r>
    </w:p>
    <w:p w14:paraId="593EE0D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b w:val="0"/>
          <w:bCs w:val="0"/>
          <w:smallCaps w:val="0"/>
          <w:color w:val="auto"/>
          <w:sz w:val="32"/>
          <w:szCs w:val="32"/>
        </w:rPr>
      </w:pPr>
      <w:r>
        <w:rPr>
          <w:rFonts w:ascii="Times New Roman" w:hAnsi="Times New Roman" w:eastAsia="仿宋" w:cs="仿宋"/>
          <w:b w:val="0"/>
          <w:bCs w:val="0"/>
          <w:smallCaps w:val="0"/>
          <w:color w:val="auto"/>
          <w:spacing w:val="8"/>
          <w:sz w:val="32"/>
          <w:szCs w:val="32"/>
        </w:rPr>
        <w:t>《规划》坚持生态优先、绿色勘查的原则。明确了砂石土及非金属矿山的绿色勘查要求、管理制度和准入条件，对</w:t>
      </w:r>
      <w:r>
        <w:rPr>
          <w:rFonts w:ascii="Times New Roman" w:hAnsi="Times New Roman" w:eastAsia="仿宋" w:cs="仿宋"/>
          <w:b w:val="0"/>
          <w:bCs w:val="0"/>
          <w:smallCaps w:val="0"/>
          <w:color w:val="auto"/>
          <w:spacing w:val="7"/>
          <w:sz w:val="32"/>
          <w:szCs w:val="32"/>
        </w:rPr>
        <w:t>不符合绿色勘查相关要求的勘查项目一律不纳入规</w:t>
      </w:r>
      <w:r>
        <w:rPr>
          <w:rFonts w:ascii="Times New Roman" w:hAnsi="Times New Roman" w:eastAsia="仿宋" w:cs="仿宋"/>
          <w:b w:val="0"/>
          <w:bCs w:val="0"/>
          <w:smallCaps w:val="0"/>
          <w:color w:val="auto"/>
          <w:spacing w:val="6"/>
          <w:sz w:val="32"/>
          <w:szCs w:val="32"/>
        </w:rPr>
        <w:t>划。</w:t>
      </w:r>
    </w:p>
    <w:p w14:paraId="6E47586C">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val="0"/>
          <w:smallCaps w:val="0"/>
          <w:snapToGrid/>
          <w:color w:val="auto"/>
          <w:kern w:val="2"/>
          <w:sz w:val="32"/>
          <w:szCs w:val="32"/>
          <w:lang w:val="en-US" w:eastAsia="zh-CN" w:bidi="ar-SA"/>
        </w:rPr>
      </w:pPr>
      <w:r>
        <w:rPr>
          <w:rFonts w:hint="eastAsia" w:ascii="楷体" w:hAnsi="楷体" w:eastAsia="楷体" w:cs="楷体"/>
          <w:b/>
          <w:bCs w:val="0"/>
          <w:smallCaps w:val="0"/>
          <w:snapToGrid/>
          <w:color w:val="auto"/>
          <w:kern w:val="2"/>
          <w:sz w:val="32"/>
          <w:szCs w:val="32"/>
          <w:lang w:val="en-US" w:eastAsia="zh-CN" w:bidi="ar-SA"/>
        </w:rPr>
        <w:t>（五）准入条件符合矿区生态保护修复的要求</w:t>
      </w:r>
    </w:p>
    <w:p w14:paraId="3B434D7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728" w:firstLineChars="200"/>
        <w:jc w:val="both"/>
        <w:textAlignment w:val="baseline"/>
        <w:rPr>
          <w:rFonts w:ascii="Times New Roman" w:hAnsi="Times New Roman" w:eastAsia="仿宋" w:cs="仿宋"/>
          <w:smallCaps w:val="0"/>
          <w:color w:val="auto"/>
          <w:spacing w:val="22"/>
          <w:sz w:val="32"/>
          <w:szCs w:val="32"/>
        </w:rPr>
      </w:pPr>
      <w:r>
        <w:rPr>
          <w:rFonts w:ascii="Times New Roman" w:hAnsi="Times New Roman" w:eastAsia="仿宋" w:cs="仿宋"/>
          <w:smallCaps w:val="0"/>
          <w:color w:val="auto"/>
          <w:spacing w:val="22"/>
          <w:sz w:val="32"/>
          <w:szCs w:val="32"/>
        </w:rPr>
        <w:t>《规划》坚持生态保护优先的原则，明确砂石土及非金属矿山的管理要求和</w:t>
      </w:r>
      <w:bookmarkStart w:id="54" w:name="_GoBack"/>
      <w:bookmarkEnd w:id="54"/>
      <w:r>
        <w:rPr>
          <w:rFonts w:ascii="Times New Roman" w:hAnsi="Times New Roman" w:eastAsia="仿宋" w:cs="仿宋"/>
          <w:smallCaps w:val="0"/>
          <w:color w:val="auto"/>
          <w:spacing w:val="22"/>
          <w:sz w:val="32"/>
          <w:szCs w:val="32"/>
        </w:rPr>
        <w:t>准入条件，对于不符合环保要求、破坏生态保护修复的开发项目一律不纳入规划。</w:t>
      </w:r>
    </w:p>
    <w:p w14:paraId="1887AC5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ascii="Times New Roman" w:hAnsi="Times New Roman" w:eastAsia="仿宋" w:cs="仿宋"/>
          <w:smallCaps w:val="0"/>
          <w:color w:val="auto"/>
          <w:sz w:val="32"/>
          <w:szCs w:val="32"/>
        </w:rPr>
      </w:pPr>
      <w:r>
        <w:rPr>
          <w:rFonts w:ascii="Times New Roman" w:hAnsi="Times New Roman" w:eastAsia="仿宋" w:cs="仿宋"/>
          <w:smallCaps w:val="0"/>
          <w:color w:val="auto"/>
          <w:spacing w:val="8"/>
          <w:sz w:val="32"/>
          <w:szCs w:val="32"/>
        </w:rPr>
        <w:t>根据以上分析，《规划》制定的开采规划准入条件合法合规，满足银川市经济发展的需要，符合当地绿色勘查、产</w:t>
      </w:r>
      <w:r>
        <w:rPr>
          <w:rFonts w:ascii="Times New Roman" w:hAnsi="Times New Roman" w:eastAsia="仿宋" w:cs="仿宋"/>
          <w:smallCaps w:val="0"/>
          <w:color w:val="auto"/>
          <w:spacing w:val="6"/>
          <w:sz w:val="32"/>
          <w:szCs w:val="32"/>
        </w:rPr>
        <w:t>业结构政策、绿色矿山建设以及矿区生态保护修复等的</w:t>
      </w:r>
      <w:r>
        <w:rPr>
          <w:rFonts w:ascii="Times New Roman" w:hAnsi="Times New Roman" w:eastAsia="仿宋" w:cs="仿宋"/>
          <w:smallCaps w:val="0"/>
          <w:color w:val="auto"/>
          <w:spacing w:val="5"/>
          <w:sz w:val="32"/>
          <w:szCs w:val="32"/>
        </w:rPr>
        <w:t>要求，总体来说，准入条件是有效的。</w:t>
      </w:r>
    </w:p>
    <w:p w14:paraId="15F659DE">
      <w:pPr>
        <w:pStyle w:val="4"/>
        <w:keepNext w:val="0"/>
        <w:keepLines w:val="0"/>
        <w:pageBreakBefore w:val="0"/>
        <w:widowControl w:val="0"/>
        <w:kinsoku/>
        <w:wordWrap/>
        <w:overflowPunct/>
        <w:topLinePunct w:val="0"/>
        <w:autoSpaceDE w:val="0"/>
        <w:autoSpaceDN w:val="0"/>
        <w:bidi w:val="0"/>
        <w:adjustRightInd w:val="0"/>
        <w:snapToGrid w:val="0"/>
        <w:spacing w:beforeLines="0" w:line="600" w:lineRule="exact"/>
        <w:ind w:left="505"/>
        <w:textAlignment w:val="baseline"/>
        <w:rPr>
          <w:rFonts w:hint="eastAsia" w:ascii="黑体" w:hAnsi="黑体" w:eastAsia="黑体" w:cs="黑体"/>
          <w:b w:val="0"/>
          <w:bCs w:val="0"/>
          <w:smallCaps w:val="0"/>
          <w:snapToGrid w:val="0"/>
          <w:color w:val="auto"/>
          <w:spacing w:val="6"/>
          <w:kern w:val="0"/>
          <w:sz w:val="32"/>
          <w:szCs w:val="32"/>
          <w:lang w:val="en-US" w:eastAsia="zh-CN" w:bidi="ar-SA"/>
        </w:rPr>
      </w:pPr>
      <w:bookmarkStart w:id="52" w:name="bookmark33"/>
      <w:bookmarkEnd w:id="52"/>
      <w:bookmarkStart w:id="53" w:name="_Toc9499"/>
      <w:r>
        <w:rPr>
          <w:rFonts w:hint="eastAsia" w:ascii="黑体" w:hAnsi="黑体" w:eastAsia="黑体" w:cs="黑体"/>
          <w:b w:val="0"/>
          <w:bCs w:val="0"/>
          <w:smallCaps w:val="0"/>
          <w:snapToGrid w:val="0"/>
          <w:color w:val="auto"/>
          <w:spacing w:val="6"/>
          <w:kern w:val="0"/>
          <w:sz w:val="32"/>
          <w:szCs w:val="32"/>
          <w:lang w:val="en-US" w:eastAsia="zh-CN" w:bidi="ar-SA"/>
        </w:rPr>
        <w:t>六</w:t>
      </w:r>
      <w:r>
        <w:rPr>
          <w:rFonts w:hint="eastAsia" w:ascii="黑体" w:eastAsia="黑体" w:cs="黑体"/>
          <w:b w:val="0"/>
          <w:bCs w:val="0"/>
          <w:smallCaps w:val="0"/>
          <w:snapToGrid w:val="0"/>
          <w:color w:val="auto"/>
          <w:spacing w:val="6"/>
          <w:kern w:val="0"/>
          <w:sz w:val="32"/>
          <w:szCs w:val="32"/>
          <w:lang w:val="en-US" w:eastAsia="zh-CN" w:bidi="ar-SA"/>
        </w:rPr>
        <w:t>、</w:t>
      </w:r>
      <w:r>
        <w:rPr>
          <w:rFonts w:hint="eastAsia" w:ascii="黑体" w:hAnsi="黑体" w:eastAsia="黑体" w:cs="黑体"/>
          <w:b w:val="0"/>
          <w:bCs w:val="0"/>
          <w:smallCaps w:val="0"/>
          <w:snapToGrid w:val="0"/>
          <w:color w:val="auto"/>
          <w:spacing w:val="6"/>
          <w:kern w:val="0"/>
          <w:sz w:val="32"/>
          <w:szCs w:val="32"/>
          <w:lang w:val="en-US" w:eastAsia="zh-CN" w:bidi="ar-SA"/>
        </w:rPr>
        <w:t>环境影响评价结论</w:t>
      </w:r>
      <w:bookmarkEnd w:id="53"/>
    </w:p>
    <w:p w14:paraId="570E130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Times New Roman" w:hAnsi="Times New Roman"/>
          <w:smallCaps w:val="0"/>
          <w:lang w:val="en-US" w:eastAsia="zh-CN"/>
        </w:rPr>
      </w:pPr>
      <w:r>
        <w:rPr>
          <w:rFonts w:ascii="Times New Roman" w:hAnsi="Times New Roman" w:eastAsia="仿宋" w:cs="仿宋"/>
          <w:smallCaps w:val="0"/>
          <w:color w:val="auto"/>
          <w:spacing w:val="8"/>
          <w:sz w:val="32"/>
          <w:szCs w:val="32"/>
        </w:rPr>
        <w:t>《规划》在矿产勘查开发与保护布局、矿产资源勘查开发利用与保护、绿色矿山建设和矿区生态环境保护修复方面提出的具体要求与国家产业政策、自治区产业政策、上级规划、《矿山生态环境保护与污染防治技术政策》相符。规划的实施对促进区域经济发展，减少当地生态环境影响等有积极意义，在采取相应的污染防治措施和生态恢复措施后，规划实施对环境的不良影响会得到有效的减缓和控制。规划相关生态环境治理恢复项目是合理的，认真落实相关环境影响评价提出的针对性环保治理措施严格落实，在确保满足区域</w:t>
      </w:r>
      <w:r>
        <w:rPr>
          <w:rFonts w:ascii="Times New Roman" w:hAnsi="Times New Roman" w:eastAsia="仿宋" w:cs="仿宋"/>
          <w:smallCaps w:val="0"/>
          <w:color w:val="auto"/>
          <w:spacing w:val="6"/>
          <w:sz w:val="32"/>
          <w:szCs w:val="32"/>
        </w:rPr>
        <w:t>环境承载力，保证区域环境质量只能更好不能变差的前提</w:t>
      </w:r>
      <w:r>
        <w:rPr>
          <w:rFonts w:ascii="Times New Roman" w:hAnsi="Times New Roman" w:eastAsia="仿宋" w:cs="仿宋"/>
          <w:smallCaps w:val="0"/>
          <w:color w:val="auto"/>
          <w:spacing w:val="5"/>
          <w:sz w:val="32"/>
          <w:szCs w:val="32"/>
        </w:rPr>
        <w:t>下，</w:t>
      </w:r>
      <w:r>
        <w:rPr>
          <w:rFonts w:ascii="Times New Roman" w:hAnsi="Times New Roman" w:eastAsia="仿宋" w:cs="仿宋"/>
          <w:smallCaps w:val="0"/>
          <w:color w:val="auto"/>
          <w:spacing w:val="1"/>
          <w:sz w:val="32"/>
          <w:szCs w:val="32"/>
        </w:rPr>
        <w:t>从环境保护和可持续发展角度分析，《规划》是可</w:t>
      </w:r>
      <w:r>
        <w:rPr>
          <w:rFonts w:ascii="Times New Roman" w:hAnsi="Times New Roman" w:eastAsia="仿宋" w:cs="仿宋"/>
          <w:smallCaps w:val="0"/>
          <w:color w:val="auto"/>
          <w:sz w:val="32"/>
          <w:szCs w:val="32"/>
        </w:rPr>
        <w:t>行的</w:t>
      </w:r>
      <w:r>
        <w:rPr>
          <w:rFonts w:hint="eastAsia" w:ascii="Times New Roman" w:hAnsi="Times New Roman" w:eastAsia="仿宋" w:cs="仿宋"/>
          <w:smallCaps w:val="0"/>
          <w:color w:val="auto"/>
          <w:sz w:val="32"/>
          <w:szCs w:val="32"/>
          <w:lang w:eastAsia="zh-CN"/>
        </w:rPr>
        <w:t>。</w:t>
      </w:r>
    </w:p>
    <w:sectPr>
      <w:footerReference r:id="rId7" w:type="default"/>
      <w:pgSz w:w="11907" w:h="16839"/>
      <w:pgMar w:top="850" w:right="1800" w:bottom="850" w:left="1800" w:header="941" w:footer="94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大标宋_GBK">
    <w:altName w:val="方正书宋_GBK"/>
    <w:panose1 w:val="03000509000000000000"/>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5BCF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B96F5">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CB96F5">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273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67575">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767575">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92B6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ED0C2">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4BED0C2">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6E6810"/>
    <w:rsid w:val="007A51B4"/>
    <w:rsid w:val="01354E07"/>
    <w:rsid w:val="01554D44"/>
    <w:rsid w:val="016054B8"/>
    <w:rsid w:val="016A347B"/>
    <w:rsid w:val="019F652F"/>
    <w:rsid w:val="01A64125"/>
    <w:rsid w:val="02787E0E"/>
    <w:rsid w:val="03036BE6"/>
    <w:rsid w:val="037312F7"/>
    <w:rsid w:val="047843CC"/>
    <w:rsid w:val="04D131EF"/>
    <w:rsid w:val="058543C9"/>
    <w:rsid w:val="05BE37E7"/>
    <w:rsid w:val="065C29E3"/>
    <w:rsid w:val="065E2E82"/>
    <w:rsid w:val="076042CC"/>
    <w:rsid w:val="09C51408"/>
    <w:rsid w:val="0ACA1729"/>
    <w:rsid w:val="0C744C0B"/>
    <w:rsid w:val="0CB777B8"/>
    <w:rsid w:val="0D412327"/>
    <w:rsid w:val="0D6E6F49"/>
    <w:rsid w:val="0DD637F9"/>
    <w:rsid w:val="0E3D4911"/>
    <w:rsid w:val="0E86401B"/>
    <w:rsid w:val="0F3E7EFA"/>
    <w:rsid w:val="0F5C1833"/>
    <w:rsid w:val="0FA62B5E"/>
    <w:rsid w:val="133E6982"/>
    <w:rsid w:val="13C01233"/>
    <w:rsid w:val="140A6E24"/>
    <w:rsid w:val="14215F39"/>
    <w:rsid w:val="146D0E60"/>
    <w:rsid w:val="14F21366"/>
    <w:rsid w:val="15A36C4E"/>
    <w:rsid w:val="15C22E6B"/>
    <w:rsid w:val="15EC2C3F"/>
    <w:rsid w:val="15FC6940"/>
    <w:rsid w:val="16B663DE"/>
    <w:rsid w:val="16EC2195"/>
    <w:rsid w:val="175E2CE2"/>
    <w:rsid w:val="1881137E"/>
    <w:rsid w:val="19821E18"/>
    <w:rsid w:val="1A2112AB"/>
    <w:rsid w:val="1A2F0966"/>
    <w:rsid w:val="1B494662"/>
    <w:rsid w:val="1B8A054A"/>
    <w:rsid w:val="1CBF2475"/>
    <w:rsid w:val="1D7274E7"/>
    <w:rsid w:val="1D880FF1"/>
    <w:rsid w:val="1DF060B4"/>
    <w:rsid w:val="1E9A0397"/>
    <w:rsid w:val="1FB65866"/>
    <w:rsid w:val="2080575F"/>
    <w:rsid w:val="20B971DB"/>
    <w:rsid w:val="220F7A8F"/>
    <w:rsid w:val="22AC15C0"/>
    <w:rsid w:val="22E70030"/>
    <w:rsid w:val="2378338B"/>
    <w:rsid w:val="25300C14"/>
    <w:rsid w:val="256A5A93"/>
    <w:rsid w:val="25D20687"/>
    <w:rsid w:val="272076E1"/>
    <w:rsid w:val="27F37477"/>
    <w:rsid w:val="289B1FE8"/>
    <w:rsid w:val="28D76D98"/>
    <w:rsid w:val="28EF1377"/>
    <w:rsid w:val="29254F26"/>
    <w:rsid w:val="295C2AB5"/>
    <w:rsid w:val="298365D8"/>
    <w:rsid w:val="2A690B13"/>
    <w:rsid w:val="2AAA6858"/>
    <w:rsid w:val="2ABA5B52"/>
    <w:rsid w:val="2ADB2766"/>
    <w:rsid w:val="2BF235E5"/>
    <w:rsid w:val="2D0D5606"/>
    <w:rsid w:val="2D38326E"/>
    <w:rsid w:val="2D4677A2"/>
    <w:rsid w:val="2D480265"/>
    <w:rsid w:val="2DDC3596"/>
    <w:rsid w:val="2DF81D46"/>
    <w:rsid w:val="2EC70DCB"/>
    <w:rsid w:val="2EFE24E6"/>
    <w:rsid w:val="2F1228D8"/>
    <w:rsid w:val="2F506BCC"/>
    <w:rsid w:val="2FD05263"/>
    <w:rsid w:val="307E617E"/>
    <w:rsid w:val="3161544B"/>
    <w:rsid w:val="31D04A52"/>
    <w:rsid w:val="32BE2E66"/>
    <w:rsid w:val="34E145BB"/>
    <w:rsid w:val="377338A8"/>
    <w:rsid w:val="37A5047A"/>
    <w:rsid w:val="38911E9A"/>
    <w:rsid w:val="38D6589A"/>
    <w:rsid w:val="3931199E"/>
    <w:rsid w:val="39E8254A"/>
    <w:rsid w:val="3A6160FC"/>
    <w:rsid w:val="3B1F0E9D"/>
    <w:rsid w:val="3BFC3958"/>
    <w:rsid w:val="3C017F5D"/>
    <w:rsid w:val="3CF35D7D"/>
    <w:rsid w:val="3D3F9990"/>
    <w:rsid w:val="3DBD0FB0"/>
    <w:rsid w:val="3DCF746A"/>
    <w:rsid w:val="3EF868E3"/>
    <w:rsid w:val="3F6D0E73"/>
    <w:rsid w:val="40750F19"/>
    <w:rsid w:val="40980764"/>
    <w:rsid w:val="40A20C6A"/>
    <w:rsid w:val="40CF23D7"/>
    <w:rsid w:val="41490FA1"/>
    <w:rsid w:val="418D2E38"/>
    <w:rsid w:val="41D14864"/>
    <w:rsid w:val="42E13E94"/>
    <w:rsid w:val="4300067F"/>
    <w:rsid w:val="438B28FD"/>
    <w:rsid w:val="440074AB"/>
    <w:rsid w:val="44914872"/>
    <w:rsid w:val="451A208F"/>
    <w:rsid w:val="45A04342"/>
    <w:rsid w:val="45F43BF7"/>
    <w:rsid w:val="46012F4B"/>
    <w:rsid w:val="465B7E10"/>
    <w:rsid w:val="489549B7"/>
    <w:rsid w:val="4A1672C9"/>
    <w:rsid w:val="4AD30D90"/>
    <w:rsid w:val="4AF23975"/>
    <w:rsid w:val="4B845E03"/>
    <w:rsid w:val="4B8B30E8"/>
    <w:rsid w:val="4B960F2A"/>
    <w:rsid w:val="4C6C6D95"/>
    <w:rsid w:val="4CED7B06"/>
    <w:rsid w:val="4D115B26"/>
    <w:rsid w:val="4E834801"/>
    <w:rsid w:val="4EB42846"/>
    <w:rsid w:val="4EC46611"/>
    <w:rsid w:val="4F177E74"/>
    <w:rsid w:val="4FDC3A7E"/>
    <w:rsid w:val="50264266"/>
    <w:rsid w:val="50A334C8"/>
    <w:rsid w:val="50CF60B2"/>
    <w:rsid w:val="520863FF"/>
    <w:rsid w:val="52695A58"/>
    <w:rsid w:val="527E03ED"/>
    <w:rsid w:val="52902C3D"/>
    <w:rsid w:val="5299230A"/>
    <w:rsid w:val="540A3CF2"/>
    <w:rsid w:val="54177232"/>
    <w:rsid w:val="54BA7BF8"/>
    <w:rsid w:val="55DB7DA0"/>
    <w:rsid w:val="56DF3DD9"/>
    <w:rsid w:val="57675396"/>
    <w:rsid w:val="57A04641"/>
    <w:rsid w:val="57E36A00"/>
    <w:rsid w:val="58040B43"/>
    <w:rsid w:val="59CB2AB9"/>
    <w:rsid w:val="59EF71EF"/>
    <w:rsid w:val="5A2060AF"/>
    <w:rsid w:val="5A9E0540"/>
    <w:rsid w:val="5AFA6DB3"/>
    <w:rsid w:val="5C00128F"/>
    <w:rsid w:val="5CF212A6"/>
    <w:rsid w:val="5EAD0156"/>
    <w:rsid w:val="5F83695D"/>
    <w:rsid w:val="5FA82319"/>
    <w:rsid w:val="5FB62AF4"/>
    <w:rsid w:val="5FBCAAFE"/>
    <w:rsid w:val="604D2513"/>
    <w:rsid w:val="616B608F"/>
    <w:rsid w:val="62360F7F"/>
    <w:rsid w:val="633659E9"/>
    <w:rsid w:val="635307EE"/>
    <w:rsid w:val="63660521"/>
    <w:rsid w:val="63725BF3"/>
    <w:rsid w:val="63F20CD7"/>
    <w:rsid w:val="64624634"/>
    <w:rsid w:val="648305B0"/>
    <w:rsid w:val="66467825"/>
    <w:rsid w:val="6647794F"/>
    <w:rsid w:val="66ED2BAA"/>
    <w:rsid w:val="677A1BEB"/>
    <w:rsid w:val="67A85FBF"/>
    <w:rsid w:val="68842B85"/>
    <w:rsid w:val="68C06926"/>
    <w:rsid w:val="68D369A9"/>
    <w:rsid w:val="6B2269C2"/>
    <w:rsid w:val="6BFC0B48"/>
    <w:rsid w:val="6CE172E3"/>
    <w:rsid w:val="6E166FE8"/>
    <w:rsid w:val="6F294FA0"/>
    <w:rsid w:val="70AD1E50"/>
    <w:rsid w:val="71A32033"/>
    <w:rsid w:val="71CE741C"/>
    <w:rsid w:val="71E30D50"/>
    <w:rsid w:val="7307174E"/>
    <w:rsid w:val="732310DD"/>
    <w:rsid w:val="74D53256"/>
    <w:rsid w:val="75790588"/>
    <w:rsid w:val="75A7498C"/>
    <w:rsid w:val="75DC4673"/>
    <w:rsid w:val="76115D6C"/>
    <w:rsid w:val="767F6179"/>
    <w:rsid w:val="771977A8"/>
    <w:rsid w:val="779D0256"/>
    <w:rsid w:val="77C4221A"/>
    <w:rsid w:val="781F6570"/>
    <w:rsid w:val="789B10A3"/>
    <w:rsid w:val="78A35AF3"/>
    <w:rsid w:val="793C2903"/>
    <w:rsid w:val="7A5F3289"/>
    <w:rsid w:val="7AE21778"/>
    <w:rsid w:val="7B5F5B2A"/>
    <w:rsid w:val="7BCF53C2"/>
    <w:rsid w:val="7BFF22F6"/>
    <w:rsid w:val="7C1A2FC6"/>
    <w:rsid w:val="7CD5327F"/>
    <w:rsid w:val="7D382AD7"/>
    <w:rsid w:val="7DBB70AF"/>
    <w:rsid w:val="7E1846B6"/>
    <w:rsid w:val="7E1F5A45"/>
    <w:rsid w:val="7E80136B"/>
    <w:rsid w:val="9FC9E1E6"/>
    <w:rsid w:val="AF7683A3"/>
    <w:rsid w:val="BBFB0DB1"/>
    <w:rsid w:val="DCD7D279"/>
    <w:rsid w:val="F5F69133"/>
    <w:rsid w:val="F75D2D92"/>
    <w:rsid w:val="FE15F300"/>
    <w:rsid w:val="FFBF5A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9"/>
    <w:pPr>
      <w:keepNext/>
      <w:keepLines/>
      <w:spacing w:afterLines="200" w:line="560" w:lineRule="exact"/>
      <w:jc w:val="center"/>
      <w:outlineLvl w:val="0"/>
    </w:pPr>
    <w:rPr>
      <w:rFonts w:ascii="宋体" w:hAnsi="宋体"/>
      <w:b/>
      <w:bCs/>
      <w:kern w:val="1"/>
      <w:sz w:val="36"/>
      <w:szCs w:val="44"/>
    </w:rPr>
  </w:style>
  <w:style w:type="paragraph" w:styleId="4">
    <w:name w:val="heading 2"/>
    <w:basedOn w:val="1"/>
    <w:next w:val="1"/>
    <w:qFormat/>
    <w:uiPriority w:val="99"/>
    <w:pPr>
      <w:keepNext/>
      <w:keepLines/>
      <w:spacing w:beforeLines="50" w:line="540" w:lineRule="exact"/>
      <w:ind w:left="505"/>
      <w:jc w:val="left"/>
      <w:outlineLvl w:val="1"/>
    </w:pPr>
    <w:rPr>
      <w:rFonts w:ascii="仿宋_GB2312" w:hAnsi="黑体"/>
      <w:b/>
      <w:bCs/>
      <w:sz w:val="30"/>
      <w:szCs w:val="30"/>
    </w:rPr>
  </w:style>
  <w:style w:type="paragraph" w:styleId="2">
    <w:name w:val="heading 3"/>
    <w:basedOn w:val="1"/>
    <w:next w:val="1"/>
    <w:qFormat/>
    <w:uiPriority w:val="99"/>
    <w:pPr>
      <w:keepNext/>
      <w:keepLines/>
      <w:spacing w:before="260" w:after="26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First Indent"/>
    <w:basedOn w:val="5"/>
    <w:next w:val="1"/>
    <w:unhideWhenUsed/>
    <w:qFormat/>
    <w:uiPriority w:val="99"/>
    <w:pPr>
      <w:spacing w:after="120"/>
      <w:ind w:firstLine="420" w:firstLineChars="100"/>
      <w:jc w:val="both"/>
    </w:pPr>
    <w:rPr>
      <w:rFonts w:ascii="等线" w:hAnsi="等线" w:eastAsia="等线"/>
      <w:sz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啊"/>
    <w:basedOn w:val="1"/>
    <w:qFormat/>
    <w:uiPriority w:val="99"/>
    <w:pPr>
      <w:spacing w:beforeLines="100" w:line="276" w:lineRule="auto"/>
      <w:ind w:left="210" w:right="210" w:firstLine="600"/>
      <w:contextualSpacing/>
    </w:pPr>
    <w:rPr>
      <w:rFonts w:ascii="微软雅黑" w:hAnsi="微软雅黑" w:eastAsia="微软雅黑"/>
      <w:color w:val="000000"/>
      <w:sz w:val="24"/>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lang w:val="en-US" w:eastAsia="en-US" w:bidi="ar-SA"/>
    </w:rPr>
  </w:style>
  <w:style w:type="character" w:customStyle="1" w:styleId="17">
    <w:name w:val="font31"/>
    <w:basedOn w:val="13"/>
    <w:qFormat/>
    <w:uiPriority w:val="0"/>
    <w:rPr>
      <w:rFonts w:hint="eastAsia" w:ascii="仿宋" w:hAnsi="仿宋" w:eastAsia="仿宋" w:cs="仿宋"/>
      <w:b/>
      <w:bCs/>
      <w:color w:val="000000"/>
      <w:sz w:val="24"/>
      <w:szCs w:val="24"/>
      <w:u w:val="none"/>
    </w:rPr>
  </w:style>
  <w:style w:type="paragraph" w:customStyle="1" w:styleId="18">
    <w:name w:val="Table Paragraph"/>
    <w:basedOn w:val="1"/>
    <w:qFormat/>
    <w:uiPriority w:val="1"/>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font21"/>
    <w:basedOn w:val="13"/>
    <w:qFormat/>
    <w:uiPriority w:val="0"/>
    <w:rPr>
      <w:rFonts w:hint="eastAsia" w:ascii="宋体" w:hAnsi="宋体" w:eastAsia="宋体" w:cs="宋体"/>
      <w:color w:val="000000"/>
      <w:sz w:val="20"/>
      <w:szCs w:val="20"/>
      <w:u w:val="none"/>
    </w:rPr>
  </w:style>
  <w:style w:type="character" w:customStyle="1" w:styleId="21">
    <w:name w:val="font01"/>
    <w:basedOn w:val="13"/>
    <w:qFormat/>
    <w:uiPriority w:val="0"/>
    <w:rPr>
      <w:rFonts w:ascii="方正仿宋_GB2312" w:hAnsi="方正仿宋_GB2312" w:eastAsia="方正仿宋_GB2312" w:cs="方正仿宋_GB2312"/>
      <w:color w:val="000000"/>
      <w:sz w:val="16"/>
      <w:szCs w:val="16"/>
      <w:u w:val="none"/>
    </w:rPr>
  </w:style>
  <w:style w:type="character" w:customStyle="1" w:styleId="22">
    <w:name w:val="font11"/>
    <w:basedOn w:val="13"/>
    <w:qFormat/>
    <w:uiPriority w:val="0"/>
    <w:rPr>
      <w:rFonts w:ascii="方正书宋_GBK" w:hAnsi="方正书宋_GBK" w:eastAsia="方正书宋_GBK" w:cs="方正书宋_GBK"/>
      <w:color w:val="000000"/>
      <w:sz w:val="20"/>
      <w:szCs w:val="20"/>
      <w:u w:val="none"/>
    </w:rPr>
  </w:style>
  <w:style w:type="character" w:customStyle="1" w:styleId="23">
    <w:name w:val="font6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22646</Words>
  <Characters>23704</Characters>
  <TotalTime>13</TotalTime>
  <ScaleCrop>false</ScaleCrop>
  <LinksUpToDate>false</LinksUpToDate>
  <CharactersWithSpaces>24021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2022-04-24T16:39:00Z</dcterms:created>
  <dc:creator>lenovo</dc:creator>
  <cp:lastModifiedBy>冯丽华</cp:lastModifiedBy>
  <dcterms:modified xsi:type="dcterms:W3CDTF">2026-04-24T11:53:57Z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2025-08-20T15:22:51Z</vt:filetime>
  </property>
  <property fmtid="{D5CDD505-2E9C-101B-9397-08002B2CF9AE}" pid="4" name="KSOProductBuildVer">
    <vt:lpwstr>2052-12.8.2.1119</vt:lpwstr>
  </property>
  <property fmtid="{D5CDD505-2E9C-101B-9397-08002B2CF9AE}" pid="5" name="ICV">
    <vt:lpwstr>778815E4F4FC4FE99796EB52DC4B9982_13</vt:lpwstr>
  </property>
  <property fmtid="{D5CDD505-2E9C-101B-9397-08002B2CF9AE}" pid="6" name="KSOTemplateDocerSaveRecord">
    <vt:lpwstr>eyJoZGlkIjoiOWRjYjI4NDU5YTIxM2MxYzIwYmQyMDIxYjFmYjUyNzYiLCJ1c2VySWQiOiI1OTg5MTEyMTIifQ==</vt:lpwstr>
  </property>
</Properties>
</file>